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CF3AF" w14:textId="4D6E5B06" w:rsidR="00E87FAA" w:rsidRPr="00A57417" w:rsidRDefault="00706B6F" w:rsidP="00A57417">
      <w:pPr>
        <w:spacing w:after="0" w:line="240" w:lineRule="auto"/>
        <w:ind w:right="-446"/>
        <w:jc w:val="center"/>
        <w:rPr>
          <w:rFonts w:ascii="Times New Roman" w:hAnsi="Times New Roman" w:cs="Times New Roman"/>
          <w:b/>
          <w:bCs/>
          <w:sz w:val="24"/>
          <w:szCs w:val="24"/>
          <w:u w:val="single"/>
        </w:rPr>
      </w:pPr>
      <w:r w:rsidRPr="00581C0F">
        <w:rPr>
          <w:rFonts w:ascii="Times New Roman" w:hAnsi="Times New Roman" w:cs="Times New Roman"/>
          <w:b/>
          <w:bCs/>
          <w:sz w:val="24"/>
          <w:szCs w:val="24"/>
          <w:u w:val="single"/>
        </w:rPr>
        <w:t>Financial Support for Businesses</w:t>
      </w:r>
      <w:bookmarkStart w:id="0" w:name="_GoBack"/>
      <w:bookmarkEnd w:id="0"/>
    </w:p>
    <w:p w14:paraId="60D57664" w14:textId="7A810B04" w:rsidR="00C05503" w:rsidRPr="00581C0F" w:rsidRDefault="00C05503" w:rsidP="00581C0F">
      <w:pPr>
        <w:spacing w:after="0" w:line="240" w:lineRule="auto"/>
        <w:ind w:right="-446"/>
        <w:rPr>
          <w:rFonts w:ascii="Times New Roman" w:hAnsi="Times New Roman" w:cs="Times New Roman"/>
          <w:sz w:val="24"/>
          <w:szCs w:val="24"/>
        </w:rPr>
      </w:pPr>
    </w:p>
    <w:p w14:paraId="4B9A4387" w14:textId="781D6D4D" w:rsidR="00B92822" w:rsidRPr="00EB05BB" w:rsidRDefault="00B92822" w:rsidP="00EB05BB">
      <w:pPr>
        <w:spacing w:after="0" w:line="240" w:lineRule="auto"/>
        <w:ind w:right="-446"/>
        <w:rPr>
          <w:rFonts w:ascii="Times New Roman" w:hAnsi="Times New Roman" w:cs="Times New Roman"/>
          <w:sz w:val="24"/>
          <w:szCs w:val="24"/>
        </w:rPr>
      </w:pPr>
    </w:p>
    <w:p w14:paraId="1BF72C52" w14:textId="6FC1D21E" w:rsidR="00B92822" w:rsidRPr="00EB05BB" w:rsidRDefault="00B92822" w:rsidP="00EB05BB">
      <w:pPr>
        <w:spacing w:after="0" w:line="240" w:lineRule="auto"/>
        <w:ind w:right="-446"/>
        <w:rPr>
          <w:rFonts w:ascii="Times New Roman" w:hAnsi="Times New Roman" w:cs="Times New Roman"/>
          <w:sz w:val="24"/>
          <w:szCs w:val="24"/>
        </w:rPr>
      </w:pPr>
    </w:p>
    <w:tbl>
      <w:tblPr>
        <w:tblStyle w:val="TableGrid"/>
        <w:tblW w:w="15120" w:type="dxa"/>
        <w:tblLayout w:type="fixed"/>
        <w:tblLook w:val="04A0" w:firstRow="1" w:lastRow="0" w:firstColumn="1" w:lastColumn="0" w:noHBand="0" w:noVBand="1"/>
      </w:tblPr>
      <w:tblGrid>
        <w:gridCol w:w="1885"/>
        <w:gridCol w:w="1890"/>
        <w:gridCol w:w="5220"/>
        <w:gridCol w:w="4770"/>
        <w:gridCol w:w="1355"/>
      </w:tblGrid>
      <w:tr w:rsidR="00B962B8" w:rsidRPr="00435893" w14:paraId="7FBE3895" w14:textId="77777777" w:rsidTr="009D7646">
        <w:tc>
          <w:tcPr>
            <w:tcW w:w="1885" w:type="dxa"/>
          </w:tcPr>
          <w:p w14:paraId="00DD4331" w14:textId="77777777" w:rsidR="00B962B8" w:rsidRPr="00435893" w:rsidRDefault="00B962B8" w:rsidP="00D07174">
            <w:pPr>
              <w:rPr>
                <w:rFonts w:ascii="Times New Roman" w:hAnsi="Times New Roman" w:cs="Times New Roman"/>
                <w:sz w:val="24"/>
                <w:szCs w:val="24"/>
              </w:rPr>
            </w:pPr>
          </w:p>
        </w:tc>
        <w:tc>
          <w:tcPr>
            <w:tcW w:w="1890" w:type="dxa"/>
            <w:hideMark/>
          </w:tcPr>
          <w:p w14:paraId="436763DA" w14:textId="77777777" w:rsidR="00B962B8" w:rsidRPr="00435893" w:rsidRDefault="00B962B8" w:rsidP="00D07174">
            <w:pPr>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706E6CBF" w14:textId="77777777" w:rsidR="00B962B8" w:rsidRPr="00435893" w:rsidRDefault="00B962B8" w:rsidP="00D07174">
            <w:pPr>
              <w:rPr>
                <w:rFonts w:ascii="Times New Roman" w:hAnsi="Times New Roman" w:cs="Times New Roman"/>
                <w:sz w:val="24"/>
                <w:szCs w:val="24"/>
              </w:rPr>
            </w:pPr>
            <w:r w:rsidRPr="00435893">
              <w:rPr>
                <w:rFonts w:ascii="Times New Roman" w:hAnsi="Times New Roman" w:cs="Times New Roman"/>
                <w:sz w:val="24"/>
                <w:szCs w:val="24"/>
              </w:rPr>
              <w:t>(Banking Policy &amp; Regulations Department)</w:t>
            </w:r>
          </w:p>
        </w:tc>
        <w:tc>
          <w:tcPr>
            <w:tcW w:w="5220" w:type="dxa"/>
          </w:tcPr>
          <w:p w14:paraId="574EDCC9" w14:textId="77777777" w:rsidR="00B962B8" w:rsidRPr="00BB4F0B" w:rsidRDefault="00B962B8" w:rsidP="00BB4F0B">
            <w:pPr>
              <w:ind w:right="72"/>
              <w:rPr>
                <w:rStyle w:val="Strong"/>
                <w:rFonts w:ascii="Times New Roman" w:hAnsi="Times New Roman" w:cs="Times New Roman"/>
                <w:b w:val="0"/>
                <w:bCs w:val="0"/>
                <w:color w:val="000000"/>
                <w:sz w:val="24"/>
                <w:szCs w:val="24"/>
              </w:rPr>
            </w:pPr>
            <w:r w:rsidRPr="00BB4F0B">
              <w:rPr>
                <w:rStyle w:val="Strong"/>
                <w:rFonts w:ascii="Times New Roman" w:hAnsi="Times New Roman" w:cs="Times New Roman"/>
                <w:b w:val="0"/>
                <w:bCs w:val="0"/>
                <w:color w:val="000000"/>
                <w:sz w:val="24"/>
                <w:szCs w:val="24"/>
              </w:rPr>
              <w:t>REGULATORY RELIEF TO DAMPEN THE EFFECTS OF COVID – 19</w:t>
            </w:r>
          </w:p>
          <w:p w14:paraId="0778FF89" w14:textId="77777777" w:rsidR="00B962B8" w:rsidRPr="00BB4F0B" w:rsidRDefault="00B962B8" w:rsidP="00BB4F0B">
            <w:pPr>
              <w:ind w:right="72"/>
              <w:rPr>
                <w:rStyle w:val="Strong"/>
                <w:rFonts w:ascii="Times New Roman" w:hAnsi="Times New Roman" w:cs="Times New Roman"/>
                <w:b w:val="0"/>
                <w:bCs w:val="0"/>
                <w:color w:val="000000"/>
                <w:sz w:val="24"/>
                <w:szCs w:val="24"/>
              </w:rPr>
            </w:pPr>
          </w:p>
          <w:p w14:paraId="47EFEF8E" w14:textId="77777777" w:rsidR="00B962B8" w:rsidRPr="00BB4F0B" w:rsidRDefault="00B962B8" w:rsidP="00BB4F0B">
            <w:pPr>
              <w:ind w:right="72"/>
              <w:rPr>
                <w:rStyle w:val="Strong"/>
                <w:rFonts w:ascii="Times New Roman" w:hAnsi="Times New Roman" w:cs="Times New Roman"/>
                <w:b w:val="0"/>
                <w:bCs w:val="0"/>
                <w:color w:val="000000"/>
                <w:sz w:val="24"/>
                <w:szCs w:val="24"/>
              </w:rPr>
            </w:pPr>
          </w:p>
          <w:p w14:paraId="5AC5EAAF" w14:textId="77777777" w:rsidR="00B962B8" w:rsidRPr="00BB4F0B" w:rsidRDefault="00B962B8" w:rsidP="00BB4F0B">
            <w:pPr>
              <w:ind w:right="72"/>
              <w:rPr>
                <w:rStyle w:val="Strong"/>
                <w:rFonts w:ascii="Times New Roman" w:hAnsi="Times New Roman" w:cs="Times New Roman"/>
                <w:b w:val="0"/>
                <w:bCs w:val="0"/>
                <w:color w:val="000000"/>
                <w:sz w:val="24"/>
                <w:szCs w:val="24"/>
              </w:rPr>
            </w:pPr>
            <w:r w:rsidRPr="00BB4F0B">
              <w:rPr>
                <w:rStyle w:val="Strong"/>
                <w:rFonts w:ascii="Times New Roman" w:hAnsi="Times New Roman" w:cs="Times New Roman"/>
                <w:b w:val="0"/>
                <w:bCs w:val="0"/>
                <w:color w:val="000000"/>
                <w:sz w:val="24"/>
                <w:szCs w:val="24"/>
              </w:rPr>
              <w:t>BPRD Circular Letter No. 12 of 2020</w:t>
            </w:r>
          </w:p>
        </w:tc>
        <w:tc>
          <w:tcPr>
            <w:tcW w:w="4770" w:type="dxa"/>
          </w:tcPr>
          <w:p w14:paraId="75C91C14" w14:textId="77777777" w:rsidR="00B962B8" w:rsidRPr="00435893" w:rsidRDefault="00B962B8" w:rsidP="00D07174">
            <w:pPr>
              <w:rPr>
                <w:rFonts w:ascii="Times New Roman" w:hAnsi="Times New Roman" w:cs="Times New Roman"/>
                <w:sz w:val="24"/>
                <w:szCs w:val="24"/>
              </w:rPr>
            </w:pPr>
            <w:r w:rsidRPr="00435893">
              <w:rPr>
                <w:rFonts w:ascii="Times New Roman" w:hAnsi="Times New Roman" w:cs="Times New Roman"/>
                <w:sz w:val="24"/>
                <w:szCs w:val="24"/>
              </w:rPr>
              <w:t>In order to dampen the adverse effects of COVID-19, the State bank of Pakistan has reduced the Capital Conservation Buffer (CCB) for the time being, from its existing level of 2.50% to 1.50%, till further instructions and enhanced existing regulatory retail portfolio limit of Rs. 125 million to Rs. 180 million</w:t>
            </w:r>
          </w:p>
          <w:p w14:paraId="3F4729AC" w14:textId="77777777" w:rsidR="00B962B8" w:rsidRPr="00435893" w:rsidRDefault="00B962B8" w:rsidP="00D07174">
            <w:pPr>
              <w:rPr>
                <w:rFonts w:ascii="Times New Roman" w:hAnsi="Times New Roman" w:cs="Times New Roman"/>
                <w:sz w:val="24"/>
                <w:szCs w:val="24"/>
              </w:rPr>
            </w:pPr>
          </w:p>
        </w:tc>
        <w:tc>
          <w:tcPr>
            <w:tcW w:w="1355" w:type="dxa"/>
            <w:hideMark/>
          </w:tcPr>
          <w:p w14:paraId="28166F72" w14:textId="77777777" w:rsidR="00B962B8" w:rsidRPr="00435893" w:rsidRDefault="00B962B8" w:rsidP="00D07174">
            <w:pPr>
              <w:rPr>
                <w:rFonts w:ascii="Times New Roman" w:hAnsi="Times New Roman" w:cs="Times New Roman"/>
                <w:sz w:val="24"/>
                <w:szCs w:val="24"/>
              </w:rPr>
            </w:pPr>
            <w:r w:rsidRPr="00435893">
              <w:rPr>
                <w:rFonts w:ascii="Times New Roman" w:hAnsi="Times New Roman" w:cs="Times New Roman"/>
                <w:sz w:val="24"/>
                <w:szCs w:val="24"/>
              </w:rPr>
              <w:t>26-03-2020</w:t>
            </w:r>
          </w:p>
        </w:tc>
      </w:tr>
      <w:tr w:rsidR="00E87FAA" w:rsidRPr="00435893" w14:paraId="291E390A" w14:textId="77777777" w:rsidTr="009D7646">
        <w:trPr>
          <w:trHeight w:val="70"/>
        </w:trPr>
        <w:tc>
          <w:tcPr>
            <w:tcW w:w="1885" w:type="dxa"/>
            <w:tcBorders>
              <w:top w:val="single" w:sz="4" w:space="0" w:color="auto"/>
              <w:left w:val="single" w:sz="4" w:space="0" w:color="auto"/>
              <w:bottom w:val="single" w:sz="4" w:space="0" w:color="auto"/>
              <w:right w:val="single" w:sz="4" w:space="0" w:color="auto"/>
            </w:tcBorders>
          </w:tcPr>
          <w:p w14:paraId="3C5DBB81" w14:textId="77777777" w:rsidR="00E87FAA" w:rsidRPr="00435893" w:rsidRDefault="00E87FAA" w:rsidP="00D07174">
            <w:pP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hideMark/>
          </w:tcPr>
          <w:p w14:paraId="72EF087F" w14:textId="77777777" w:rsidR="00E87FAA" w:rsidRPr="00435893" w:rsidRDefault="00E87FAA" w:rsidP="00D07174">
            <w:pPr>
              <w:rPr>
                <w:rFonts w:ascii="Times New Roman" w:hAnsi="Times New Roman" w:cs="Times New Roman"/>
                <w:sz w:val="24"/>
                <w:szCs w:val="24"/>
              </w:rPr>
            </w:pPr>
            <w:r w:rsidRPr="00435893">
              <w:rPr>
                <w:rFonts w:ascii="Times New Roman" w:hAnsi="Times New Roman" w:cs="Times New Roman"/>
                <w:sz w:val="24"/>
                <w:szCs w:val="24"/>
              </w:rPr>
              <w:t>State Bank of Pakistan</w:t>
            </w:r>
          </w:p>
          <w:p w14:paraId="5725D8A9" w14:textId="77777777" w:rsidR="00E87FAA" w:rsidRPr="00435893" w:rsidRDefault="00E87FAA" w:rsidP="00D07174">
            <w:pPr>
              <w:rPr>
                <w:rFonts w:ascii="Times New Roman" w:hAnsi="Times New Roman" w:cs="Times New Roman"/>
                <w:sz w:val="24"/>
                <w:szCs w:val="24"/>
              </w:rPr>
            </w:pPr>
            <w:r w:rsidRPr="00435893">
              <w:rPr>
                <w:rFonts w:ascii="Times New Roman" w:hAnsi="Times New Roman" w:cs="Times New Roman"/>
                <w:sz w:val="24"/>
                <w:szCs w:val="24"/>
              </w:rPr>
              <w:t>(Infrastructure, Housing &amp; SME Finance Department)</w:t>
            </w:r>
          </w:p>
        </w:tc>
        <w:tc>
          <w:tcPr>
            <w:tcW w:w="5220" w:type="dxa"/>
            <w:tcBorders>
              <w:top w:val="single" w:sz="4" w:space="0" w:color="auto"/>
              <w:left w:val="single" w:sz="4" w:space="0" w:color="auto"/>
              <w:bottom w:val="single" w:sz="4" w:space="0" w:color="auto"/>
              <w:right w:val="single" w:sz="4" w:space="0" w:color="auto"/>
            </w:tcBorders>
          </w:tcPr>
          <w:p w14:paraId="61F5B438" w14:textId="77777777" w:rsidR="00E87FAA" w:rsidRPr="00BB4F0B" w:rsidRDefault="00E87FAA" w:rsidP="00BB4F0B">
            <w:pPr>
              <w:ind w:right="72"/>
              <w:rPr>
                <w:rStyle w:val="Strong"/>
                <w:rFonts w:ascii="Times New Roman" w:hAnsi="Times New Roman" w:cs="Times New Roman"/>
                <w:b w:val="0"/>
                <w:bCs w:val="0"/>
                <w:caps/>
                <w:sz w:val="24"/>
                <w:szCs w:val="24"/>
              </w:rPr>
            </w:pPr>
            <w:r w:rsidRPr="00BB4F0B">
              <w:rPr>
                <w:rStyle w:val="Strong"/>
                <w:rFonts w:ascii="Times New Roman" w:hAnsi="Times New Roman" w:cs="Times New Roman"/>
                <w:b w:val="0"/>
                <w:bCs w:val="0"/>
                <w:caps/>
                <w:sz w:val="24"/>
                <w:szCs w:val="24"/>
              </w:rPr>
              <w:t>Relaxations to Exporters under Export Finance Scheme (EFS)/Islamic Export Refinance Scheme (IERS) and Long Term Financing Facility (LTFF)/Islamic Long Term Financing Facility (ILTFF)</w:t>
            </w:r>
          </w:p>
          <w:p w14:paraId="2A0FA69B" w14:textId="77777777" w:rsidR="00E87FAA" w:rsidRPr="00BB4F0B" w:rsidRDefault="00E87FAA" w:rsidP="00BB4F0B">
            <w:pPr>
              <w:ind w:right="72"/>
              <w:rPr>
                <w:rStyle w:val="Strong"/>
                <w:rFonts w:ascii="Times New Roman" w:hAnsi="Times New Roman" w:cs="Times New Roman"/>
                <w:b w:val="0"/>
                <w:bCs w:val="0"/>
                <w:sz w:val="24"/>
                <w:szCs w:val="24"/>
              </w:rPr>
            </w:pPr>
          </w:p>
          <w:p w14:paraId="35774F1E" w14:textId="77777777" w:rsidR="00E87FAA" w:rsidRPr="00BB4F0B" w:rsidRDefault="00E87FAA" w:rsidP="00BB4F0B">
            <w:pPr>
              <w:ind w:right="72"/>
              <w:rPr>
                <w:rStyle w:val="Strong"/>
                <w:rFonts w:ascii="Times New Roman" w:hAnsi="Times New Roman" w:cs="Times New Roman"/>
                <w:b w:val="0"/>
                <w:bCs w:val="0"/>
                <w:color w:val="000000"/>
                <w:sz w:val="24"/>
                <w:szCs w:val="24"/>
              </w:rPr>
            </w:pPr>
            <w:r w:rsidRPr="00BB4F0B">
              <w:rPr>
                <w:rStyle w:val="Strong"/>
                <w:rFonts w:ascii="Times New Roman" w:hAnsi="Times New Roman" w:cs="Times New Roman"/>
                <w:b w:val="0"/>
                <w:bCs w:val="0"/>
                <w:sz w:val="24"/>
                <w:szCs w:val="24"/>
              </w:rPr>
              <w:t>IH&amp;SMEFD Circular No. 05 of 2020</w:t>
            </w:r>
          </w:p>
        </w:tc>
        <w:tc>
          <w:tcPr>
            <w:tcW w:w="4770" w:type="dxa"/>
            <w:tcBorders>
              <w:top w:val="single" w:sz="4" w:space="0" w:color="auto"/>
              <w:left w:val="single" w:sz="4" w:space="0" w:color="auto"/>
              <w:bottom w:val="single" w:sz="4" w:space="0" w:color="auto"/>
              <w:right w:val="single" w:sz="4" w:space="0" w:color="auto"/>
            </w:tcBorders>
          </w:tcPr>
          <w:p w14:paraId="3D22FE53" w14:textId="77777777" w:rsidR="00E87FAA" w:rsidRPr="00435893" w:rsidRDefault="00E87FAA" w:rsidP="00D07174">
            <w:pPr>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In view of the challenges being faced by the export sector in post-COVID – 19 scenario, the following relief is being provided to customers under EFS/IERS and LTFF/ILTFF:</w:t>
            </w:r>
          </w:p>
          <w:p w14:paraId="02839A7C" w14:textId="77777777" w:rsidR="00E87FAA" w:rsidRPr="00435893" w:rsidRDefault="00E87FAA" w:rsidP="00D07174">
            <w:pPr>
              <w:rPr>
                <w:rFonts w:ascii="Times New Roman" w:hAnsi="Times New Roman" w:cs="Times New Roman"/>
                <w:color w:val="333333"/>
                <w:sz w:val="24"/>
                <w:szCs w:val="24"/>
                <w:shd w:val="clear" w:color="auto" w:fill="F8F8F8"/>
              </w:rPr>
            </w:pPr>
          </w:p>
          <w:p w14:paraId="0DCA42D8" w14:textId="77777777" w:rsidR="00E87FAA" w:rsidRPr="00435893" w:rsidRDefault="00E87FAA" w:rsidP="00D07174">
            <w:pPr>
              <w:rPr>
                <w:rFonts w:ascii="Times New Roman" w:hAnsi="Times New Roman" w:cs="Times New Roman"/>
                <w:b/>
                <w:bCs/>
                <w:color w:val="333333"/>
                <w:sz w:val="24"/>
                <w:szCs w:val="24"/>
                <w:shd w:val="clear" w:color="auto" w:fill="F8F8F8"/>
              </w:rPr>
            </w:pPr>
            <w:r w:rsidRPr="00435893">
              <w:rPr>
                <w:rFonts w:ascii="Times New Roman" w:hAnsi="Times New Roman" w:cs="Times New Roman"/>
                <w:b/>
                <w:bCs/>
                <w:color w:val="333333"/>
                <w:sz w:val="24"/>
                <w:szCs w:val="24"/>
                <w:shd w:val="clear" w:color="auto" w:fill="F8F8F8"/>
              </w:rPr>
              <w:t>Relief under EFS/IERS:</w:t>
            </w:r>
          </w:p>
          <w:p w14:paraId="23730A00" w14:textId="77777777" w:rsidR="00E87FAA" w:rsidRPr="00435893" w:rsidRDefault="00E87FAA" w:rsidP="00D07174">
            <w:pPr>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 xml:space="preserve">Six months extension in shipment period has been allowed for </w:t>
            </w:r>
            <w:proofErr w:type="gramStart"/>
            <w:r w:rsidRPr="00435893">
              <w:rPr>
                <w:rFonts w:ascii="Times New Roman" w:hAnsi="Times New Roman" w:cs="Times New Roman"/>
                <w:color w:val="333333"/>
                <w:sz w:val="24"/>
                <w:szCs w:val="24"/>
                <w:shd w:val="clear" w:color="auto" w:fill="F8F8F8"/>
              </w:rPr>
              <w:t>those Part-</w:t>
            </w:r>
            <w:proofErr w:type="gramEnd"/>
            <w:r w:rsidRPr="00435893">
              <w:rPr>
                <w:rFonts w:ascii="Times New Roman" w:hAnsi="Times New Roman" w:cs="Times New Roman"/>
                <w:color w:val="333333"/>
                <w:sz w:val="24"/>
                <w:szCs w:val="24"/>
                <w:shd w:val="clear" w:color="auto" w:fill="F8F8F8"/>
              </w:rPr>
              <w:t>I loans, in which shipment is falling due from January 2020 till June 30, 2020.</w:t>
            </w:r>
          </w:p>
          <w:p w14:paraId="0F536EF4" w14:textId="77777777" w:rsidR="00E87FAA" w:rsidRPr="00435893" w:rsidRDefault="00E87FAA" w:rsidP="00D07174">
            <w:pPr>
              <w:rPr>
                <w:rFonts w:ascii="Times New Roman" w:hAnsi="Times New Roman" w:cs="Times New Roman"/>
                <w:color w:val="333333"/>
                <w:sz w:val="24"/>
                <w:szCs w:val="24"/>
                <w:shd w:val="clear" w:color="auto" w:fill="F8F8F8"/>
              </w:rPr>
            </w:pPr>
          </w:p>
          <w:p w14:paraId="0ED44F06" w14:textId="77777777" w:rsidR="00E87FAA" w:rsidRPr="00435893" w:rsidRDefault="00E87FAA" w:rsidP="00D07174">
            <w:pPr>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 xml:space="preserve">Exporters availing EFS under Part-II are required to show at least 2 times matching export performance against financing availed during FY 2019-20 on daily average product basis. This has been reduced to 1.5 times. Likewise, export performance requirement for </w:t>
            </w:r>
            <w:r w:rsidRPr="00435893">
              <w:rPr>
                <w:rFonts w:ascii="Times New Roman" w:hAnsi="Times New Roman" w:cs="Times New Roman"/>
                <w:color w:val="333333"/>
                <w:sz w:val="24"/>
                <w:szCs w:val="24"/>
                <w:shd w:val="clear" w:color="auto" w:fill="F8F8F8"/>
              </w:rPr>
              <w:lastRenderedPageBreak/>
              <w:t>FY 2020-21 will also be 1.5 times.</w:t>
            </w:r>
          </w:p>
          <w:p w14:paraId="01E85E7E" w14:textId="77777777" w:rsidR="00E87FAA" w:rsidRPr="00435893" w:rsidRDefault="00E87FAA" w:rsidP="00D07174">
            <w:pPr>
              <w:rPr>
                <w:rFonts w:ascii="Times New Roman" w:hAnsi="Times New Roman" w:cs="Times New Roman"/>
                <w:color w:val="333333"/>
                <w:sz w:val="24"/>
                <w:szCs w:val="24"/>
                <w:shd w:val="clear" w:color="auto" w:fill="F8F8F8"/>
              </w:rPr>
            </w:pPr>
          </w:p>
          <w:p w14:paraId="4A7DBBEC" w14:textId="77777777" w:rsidR="00E87FAA" w:rsidRPr="00435893" w:rsidRDefault="00E87FAA" w:rsidP="00D07174">
            <w:pPr>
              <w:rPr>
                <w:rFonts w:ascii="Times New Roman" w:hAnsi="Times New Roman" w:cs="Times New Roman"/>
                <w:b/>
                <w:bCs/>
                <w:color w:val="333333"/>
                <w:sz w:val="24"/>
                <w:szCs w:val="24"/>
                <w:shd w:val="clear" w:color="auto" w:fill="F8F8F8"/>
              </w:rPr>
            </w:pPr>
            <w:r w:rsidRPr="00435893">
              <w:rPr>
                <w:rFonts w:ascii="Times New Roman" w:hAnsi="Times New Roman" w:cs="Times New Roman"/>
                <w:b/>
                <w:bCs/>
                <w:color w:val="333333"/>
                <w:sz w:val="24"/>
                <w:szCs w:val="24"/>
                <w:shd w:val="clear" w:color="auto" w:fill="F8F8F8"/>
              </w:rPr>
              <w:t>Relief under LTFF/ILTFF:</w:t>
            </w:r>
          </w:p>
          <w:p w14:paraId="7B04A224" w14:textId="39DEC312" w:rsidR="00E87FAA" w:rsidRDefault="00E87FAA" w:rsidP="00D07174">
            <w:pPr>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Exports requirement for availing financing facility during the period from January 01, 2020 to September 30, 2020 has been reduced from USD 5 million or 50% exports of total sales to USD 4 million or 40% exports of total sales</w:t>
            </w:r>
          </w:p>
          <w:p w14:paraId="31EE6AB9" w14:textId="77777777" w:rsidR="00E87FAA" w:rsidRPr="00435893" w:rsidRDefault="00E87FAA" w:rsidP="00D07174">
            <w:pPr>
              <w:rPr>
                <w:rFonts w:ascii="Times New Roman" w:hAnsi="Times New Roman" w:cs="Times New Roman"/>
                <w:color w:val="333333"/>
                <w:sz w:val="24"/>
                <w:szCs w:val="24"/>
                <w:shd w:val="clear" w:color="auto" w:fill="F8F8F8"/>
              </w:rPr>
            </w:pPr>
          </w:p>
          <w:p w14:paraId="7BCD2DF8" w14:textId="2281053D" w:rsidR="00E87FAA" w:rsidRDefault="00E87FAA" w:rsidP="00D07174">
            <w:pPr>
              <w:rPr>
                <w:rFonts w:ascii="Times New Roman" w:hAnsi="Times New Roman" w:cs="Times New Roman"/>
                <w:color w:val="333333"/>
                <w:sz w:val="24"/>
                <w:szCs w:val="24"/>
                <w:shd w:val="clear" w:color="auto" w:fill="F8F8F8"/>
              </w:rPr>
            </w:pPr>
            <w:r w:rsidRPr="00435893">
              <w:rPr>
                <w:rFonts w:ascii="Times New Roman" w:hAnsi="Times New Roman" w:cs="Times New Roman"/>
                <w:color w:val="333333"/>
                <w:sz w:val="24"/>
                <w:szCs w:val="24"/>
                <w:shd w:val="clear" w:color="auto" w:fill="F8F8F8"/>
              </w:rPr>
              <w:t>One year additional period for export performance requirement under projected exports has been allowed for each category</w:t>
            </w:r>
          </w:p>
          <w:p w14:paraId="4AB2BA52" w14:textId="77777777" w:rsidR="00E87FAA" w:rsidRPr="00435893" w:rsidRDefault="00E87FAA" w:rsidP="00D07174">
            <w:pPr>
              <w:rPr>
                <w:rFonts w:ascii="Times New Roman" w:hAnsi="Times New Roman" w:cs="Times New Roman"/>
                <w:color w:val="333333"/>
                <w:sz w:val="24"/>
                <w:szCs w:val="24"/>
                <w:shd w:val="clear" w:color="auto" w:fill="F8F8F8"/>
              </w:rPr>
            </w:pPr>
          </w:p>
          <w:p w14:paraId="09697CB5" w14:textId="77777777" w:rsidR="00E87FAA" w:rsidRPr="00435893" w:rsidRDefault="00E87FAA" w:rsidP="00D07174">
            <w:pPr>
              <w:rPr>
                <w:rFonts w:ascii="Times New Roman" w:hAnsi="Times New Roman" w:cs="Times New Roman"/>
                <w:color w:val="333333"/>
                <w:sz w:val="24"/>
                <w:szCs w:val="24"/>
                <w:shd w:val="clear" w:color="auto" w:fill="F8F8F8"/>
              </w:rPr>
            </w:pPr>
          </w:p>
        </w:tc>
        <w:tc>
          <w:tcPr>
            <w:tcW w:w="1355" w:type="dxa"/>
            <w:tcBorders>
              <w:top w:val="single" w:sz="4" w:space="0" w:color="auto"/>
              <w:left w:val="single" w:sz="4" w:space="0" w:color="auto"/>
              <w:bottom w:val="single" w:sz="4" w:space="0" w:color="auto"/>
              <w:right w:val="single" w:sz="4" w:space="0" w:color="auto"/>
            </w:tcBorders>
            <w:hideMark/>
          </w:tcPr>
          <w:p w14:paraId="2EE1D7BD" w14:textId="77777777" w:rsidR="00E87FAA" w:rsidRPr="00435893" w:rsidRDefault="00E87FAA" w:rsidP="00D07174">
            <w:pPr>
              <w:rPr>
                <w:rFonts w:ascii="Times New Roman" w:hAnsi="Times New Roman" w:cs="Times New Roman"/>
                <w:sz w:val="24"/>
                <w:szCs w:val="24"/>
              </w:rPr>
            </w:pPr>
            <w:r w:rsidRPr="00435893">
              <w:rPr>
                <w:rFonts w:ascii="Times New Roman" w:hAnsi="Times New Roman" w:cs="Times New Roman"/>
                <w:sz w:val="24"/>
                <w:szCs w:val="24"/>
              </w:rPr>
              <w:lastRenderedPageBreak/>
              <w:t>20-03-2020</w:t>
            </w:r>
          </w:p>
        </w:tc>
      </w:tr>
      <w:tr w:rsidR="00BB4F0B" w:rsidRPr="00D17412" w14:paraId="3753239C" w14:textId="77777777" w:rsidTr="009D7646">
        <w:trPr>
          <w:trHeight w:val="70"/>
        </w:trPr>
        <w:tc>
          <w:tcPr>
            <w:tcW w:w="1885" w:type="dxa"/>
            <w:tcBorders>
              <w:top w:val="single" w:sz="4" w:space="0" w:color="auto"/>
              <w:left w:val="single" w:sz="4" w:space="0" w:color="auto"/>
              <w:bottom w:val="single" w:sz="4" w:space="0" w:color="auto"/>
              <w:right w:val="single" w:sz="4" w:space="0" w:color="auto"/>
            </w:tcBorders>
          </w:tcPr>
          <w:p w14:paraId="57581C7F" w14:textId="77777777" w:rsidR="00BB4F0B" w:rsidRPr="00D17412" w:rsidRDefault="00BB4F0B" w:rsidP="00D07174">
            <w:pP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6A4A19F6" w14:textId="77777777" w:rsidR="00BB4F0B" w:rsidRPr="00D17412" w:rsidRDefault="00BB4F0B" w:rsidP="00D07174">
            <w:pPr>
              <w:rPr>
                <w:rFonts w:ascii="Times New Roman" w:hAnsi="Times New Roman" w:cs="Times New Roman"/>
                <w:sz w:val="24"/>
                <w:szCs w:val="24"/>
              </w:rPr>
            </w:pPr>
            <w:r w:rsidRPr="00D17412">
              <w:rPr>
                <w:rFonts w:ascii="Times New Roman" w:hAnsi="Times New Roman" w:cs="Times New Roman"/>
                <w:sz w:val="24"/>
                <w:szCs w:val="24"/>
              </w:rPr>
              <w:t>State Bank of Pakistan</w:t>
            </w:r>
          </w:p>
          <w:p w14:paraId="37D2ECCD" w14:textId="77777777" w:rsidR="00BB4F0B" w:rsidRPr="00D17412" w:rsidRDefault="00BB4F0B" w:rsidP="00D07174">
            <w:pPr>
              <w:rPr>
                <w:rFonts w:ascii="Times New Roman" w:hAnsi="Times New Roman" w:cs="Times New Roman"/>
                <w:sz w:val="24"/>
                <w:szCs w:val="24"/>
              </w:rPr>
            </w:pPr>
            <w:r w:rsidRPr="00D17412">
              <w:rPr>
                <w:rFonts w:ascii="Times New Roman" w:hAnsi="Times New Roman" w:cs="Times New Roman"/>
                <w:sz w:val="24"/>
                <w:szCs w:val="24"/>
              </w:rPr>
              <w:t>(Exchange Policy Department)</w:t>
            </w:r>
          </w:p>
          <w:p w14:paraId="31D346AC" w14:textId="77777777" w:rsidR="00BB4F0B" w:rsidRPr="00D17412" w:rsidRDefault="00BB4F0B" w:rsidP="00D07174">
            <w:pPr>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tcPr>
          <w:p w14:paraId="114AF1EE" w14:textId="77777777" w:rsidR="00BB4F0B" w:rsidRPr="00BB4F0B" w:rsidRDefault="00BB4F0B" w:rsidP="00BB4F0B">
            <w:pPr>
              <w:ind w:right="72"/>
              <w:rPr>
                <w:rStyle w:val="Strong"/>
                <w:rFonts w:ascii="Times New Roman" w:hAnsi="Times New Roman" w:cs="Times New Roman"/>
                <w:b w:val="0"/>
                <w:bCs w:val="0"/>
                <w:caps/>
                <w:color w:val="000000"/>
                <w:sz w:val="24"/>
                <w:szCs w:val="24"/>
              </w:rPr>
            </w:pPr>
            <w:r w:rsidRPr="00BB4F0B">
              <w:rPr>
                <w:rFonts w:ascii="Times New Roman" w:hAnsi="Times New Roman" w:cs="Times New Roman"/>
                <w:caps/>
                <w:color w:val="333333"/>
                <w:sz w:val="24"/>
                <w:szCs w:val="24"/>
                <w:shd w:val="clear" w:color="auto" w:fill="F8F8F8"/>
              </w:rPr>
              <w:t>Revision of Instructions regarding Making and Dispatch of Shipping Documents by the Exporters</w:t>
            </w:r>
          </w:p>
          <w:p w14:paraId="032FE8D8" w14:textId="77777777" w:rsidR="00BB4F0B" w:rsidRPr="00BB4F0B" w:rsidRDefault="00BB4F0B" w:rsidP="00BB4F0B">
            <w:pPr>
              <w:ind w:right="72"/>
              <w:rPr>
                <w:rStyle w:val="Strong"/>
                <w:rFonts w:ascii="Times New Roman" w:hAnsi="Times New Roman" w:cs="Times New Roman"/>
                <w:b w:val="0"/>
                <w:bCs w:val="0"/>
                <w:sz w:val="24"/>
                <w:szCs w:val="24"/>
              </w:rPr>
            </w:pPr>
          </w:p>
          <w:p w14:paraId="60044E7B" w14:textId="77777777" w:rsidR="00BB4F0B" w:rsidRPr="00BB4F0B" w:rsidRDefault="00BB4F0B" w:rsidP="00BB4F0B">
            <w:pPr>
              <w:ind w:right="72"/>
              <w:rPr>
                <w:rStyle w:val="Strong"/>
                <w:rFonts w:ascii="Times New Roman" w:hAnsi="Times New Roman" w:cs="Times New Roman"/>
                <w:b w:val="0"/>
                <w:bCs w:val="0"/>
                <w:sz w:val="24"/>
                <w:szCs w:val="24"/>
              </w:rPr>
            </w:pPr>
          </w:p>
          <w:p w14:paraId="20439E61" w14:textId="77777777" w:rsidR="00BB4F0B" w:rsidRPr="00BB4F0B" w:rsidRDefault="00BB4F0B" w:rsidP="00BB4F0B">
            <w:pPr>
              <w:ind w:right="72"/>
              <w:rPr>
                <w:rStyle w:val="Strong"/>
                <w:rFonts w:ascii="Times New Roman" w:hAnsi="Times New Roman" w:cs="Times New Roman"/>
                <w:b w:val="0"/>
                <w:bCs w:val="0"/>
                <w:caps/>
                <w:color w:val="000000"/>
                <w:sz w:val="24"/>
                <w:szCs w:val="24"/>
              </w:rPr>
            </w:pPr>
            <w:r w:rsidRPr="00BB4F0B">
              <w:rPr>
                <w:rStyle w:val="Strong"/>
                <w:rFonts w:ascii="Times New Roman" w:hAnsi="Times New Roman" w:cs="Times New Roman"/>
                <w:b w:val="0"/>
                <w:bCs w:val="0"/>
                <w:color w:val="000000"/>
                <w:sz w:val="24"/>
                <w:szCs w:val="24"/>
              </w:rPr>
              <w:t>EPD Circular Letter No. 05 of 2020</w:t>
            </w:r>
          </w:p>
        </w:tc>
        <w:tc>
          <w:tcPr>
            <w:tcW w:w="4770" w:type="dxa"/>
            <w:tcBorders>
              <w:top w:val="single" w:sz="4" w:space="0" w:color="auto"/>
              <w:left w:val="single" w:sz="4" w:space="0" w:color="auto"/>
              <w:bottom w:val="single" w:sz="4" w:space="0" w:color="auto"/>
              <w:right w:val="single" w:sz="4" w:space="0" w:color="auto"/>
            </w:tcBorders>
          </w:tcPr>
          <w:p w14:paraId="5D1FA39D" w14:textId="77777777" w:rsidR="00BB4F0B" w:rsidRPr="00D17412" w:rsidRDefault="00BB4F0B" w:rsidP="00D07174">
            <w:pPr>
              <w:rPr>
                <w:rFonts w:ascii="Times New Roman" w:hAnsi="Times New Roman" w:cs="Times New Roman"/>
                <w:color w:val="333333"/>
                <w:sz w:val="24"/>
                <w:szCs w:val="24"/>
                <w:shd w:val="clear" w:color="auto" w:fill="F8F8F8"/>
              </w:rPr>
            </w:pPr>
            <w:r w:rsidRPr="00D17412">
              <w:rPr>
                <w:rFonts w:ascii="Times New Roman" w:hAnsi="Times New Roman" w:cs="Times New Roman"/>
                <w:color w:val="333333"/>
                <w:sz w:val="24"/>
                <w:szCs w:val="24"/>
                <w:shd w:val="clear" w:color="auto" w:fill="F8F8F8"/>
              </w:rPr>
              <w:t>Authorized Dealers (ADs) may allow making of shipping documents in the name of the foreign importers and dispatch of the same by the exporters directly to the foreign consignees or their agents in the country of final destination by issuing a certificate as per the proforma of the Appendix V-12A to the carriers (ships, airlines, trucks, railways etc.) subject to the terms and conditions stated in the said EPD Circular.</w:t>
            </w:r>
          </w:p>
          <w:p w14:paraId="21D4969A" w14:textId="77777777" w:rsidR="00BB4F0B" w:rsidRPr="00D17412" w:rsidRDefault="00BB4F0B" w:rsidP="00D07174">
            <w:pPr>
              <w:rPr>
                <w:rFonts w:ascii="Times New Roman" w:hAnsi="Times New Roman" w:cs="Times New Roman"/>
                <w:color w:val="333333"/>
                <w:sz w:val="24"/>
                <w:szCs w:val="24"/>
                <w:shd w:val="clear" w:color="auto" w:fill="F8F8F8"/>
              </w:rPr>
            </w:pPr>
          </w:p>
        </w:tc>
        <w:tc>
          <w:tcPr>
            <w:tcW w:w="1355" w:type="dxa"/>
            <w:tcBorders>
              <w:top w:val="single" w:sz="4" w:space="0" w:color="auto"/>
              <w:left w:val="single" w:sz="4" w:space="0" w:color="auto"/>
              <w:bottom w:val="single" w:sz="4" w:space="0" w:color="auto"/>
              <w:right w:val="single" w:sz="4" w:space="0" w:color="auto"/>
            </w:tcBorders>
          </w:tcPr>
          <w:p w14:paraId="73A2603E" w14:textId="77777777" w:rsidR="00BB4F0B" w:rsidRPr="00D17412" w:rsidRDefault="00BB4F0B" w:rsidP="00D07174">
            <w:pPr>
              <w:rPr>
                <w:rFonts w:ascii="Times New Roman" w:hAnsi="Times New Roman" w:cs="Times New Roman"/>
                <w:sz w:val="24"/>
                <w:szCs w:val="24"/>
              </w:rPr>
            </w:pPr>
          </w:p>
        </w:tc>
      </w:tr>
      <w:tr w:rsidR="00BB4F0B" w:rsidRPr="00D17412" w14:paraId="1B818401" w14:textId="77777777" w:rsidTr="009D7646">
        <w:trPr>
          <w:trHeight w:val="70"/>
        </w:trPr>
        <w:tc>
          <w:tcPr>
            <w:tcW w:w="1885" w:type="dxa"/>
            <w:tcBorders>
              <w:top w:val="single" w:sz="4" w:space="0" w:color="auto"/>
              <w:left w:val="single" w:sz="4" w:space="0" w:color="auto"/>
              <w:bottom w:val="single" w:sz="4" w:space="0" w:color="auto"/>
              <w:right w:val="single" w:sz="4" w:space="0" w:color="auto"/>
            </w:tcBorders>
          </w:tcPr>
          <w:p w14:paraId="0B89DF88" w14:textId="77777777" w:rsidR="00BB4F0B" w:rsidRPr="00D17412" w:rsidRDefault="00BB4F0B" w:rsidP="00D07174">
            <w:pP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43511F4D" w14:textId="77777777" w:rsidR="00BB4F0B" w:rsidRPr="00D17412" w:rsidRDefault="00BB4F0B" w:rsidP="00D07174">
            <w:pPr>
              <w:rPr>
                <w:rFonts w:ascii="Times New Roman" w:hAnsi="Times New Roman" w:cs="Times New Roman"/>
                <w:sz w:val="24"/>
                <w:szCs w:val="24"/>
              </w:rPr>
            </w:pPr>
            <w:r w:rsidRPr="00D17412">
              <w:rPr>
                <w:rFonts w:ascii="Times New Roman" w:hAnsi="Times New Roman" w:cs="Times New Roman"/>
                <w:sz w:val="24"/>
                <w:szCs w:val="24"/>
              </w:rPr>
              <w:t>State Bank of Pakistan</w:t>
            </w:r>
          </w:p>
          <w:p w14:paraId="1A2A9DF9" w14:textId="77777777" w:rsidR="00BB4F0B" w:rsidRPr="00D17412" w:rsidRDefault="00BB4F0B" w:rsidP="00D07174">
            <w:pPr>
              <w:rPr>
                <w:rFonts w:ascii="Times New Roman" w:hAnsi="Times New Roman" w:cs="Times New Roman"/>
                <w:sz w:val="24"/>
                <w:szCs w:val="24"/>
              </w:rPr>
            </w:pPr>
            <w:r w:rsidRPr="00D17412">
              <w:rPr>
                <w:rFonts w:ascii="Times New Roman" w:hAnsi="Times New Roman" w:cs="Times New Roman"/>
                <w:sz w:val="24"/>
                <w:szCs w:val="24"/>
              </w:rPr>
              <w:t xml:space="preserve">(Exchange Policy </w:t>
            </w:r>
            <w:r w:rsidRPr="00D17412">
              <w:rPr>
                <w:rFonts w:ascii="Times New Roman" w:hAnsi="Times New Roman" w:cs="Times New Roman"/>
                <w:sz w:val="24"/>
                <w:szCs w:val="24"/>
              </w:rPr>
              <w:lastRenderedPageBreak/>
              <w:t>Department)</w:t>
            </w:r>
          </w:p>
        </w:tc>
        <w:tc>
          <w:tcPr>
            <w:tcW w:w="5220" w:type="dxa"/>
            <w:tcBorders>
              <w:top w:val="single" w:sz="4" w:space="0" w:color="auto"/>
              <w:left w:val="single" w:sz="4" w:space="0" w:color="auto"/>
              <w:bottom w:val="single" w:sz="4" w:space="0" w:color="auto"/>
              <w:right w:val="single" w:sz="4" w:space="0" w:color="auto"/>
            </w:tcBorders>
          </w:tcPr>
          <w:p w14:paraId="6FFB1A7E" w14:textId="77777777" w:rsidR="00BB4F0B" w:rsidRPr="00BB4F0B" w:rsidRDefault="00BB4F0B" w:rsidP="00BB4F0B">
            <w:pPr>
              <w:ind w:right="72"/>
              <w:rPr>
                <w:rStyle w:val="Strong"/>
                <w:rFonts w:ascii="Times New Roman" w:hAnsi="Times New Roman" w:cs="Times New Roman"/>
                <w:b w:val="0"/>
                <w:bCs w:val="0"/>
                <w:caps/>
                <w:color w:val="000000"/>
                <w:sz w:val="24"/>
                <w:szCs w:val="24"/>
              </w:rPr>
            </w:pPr>
            <w:r w:rsidRPr="00BB4F0B">
              <w:rPr>
                <w:rFonts w:ascii="Times New Roman" w:hAnsi="Times New Roman" w:cs="Times New Roman"/>
                <w:caps/>
                <w:color w:val="333333"/>
                <w:sz w:val="24"/>
                <w:szCs w:val="24"/>
                <w:shd w:val="clear" w:color="auto" w:fill="F8F8F8"/>
              </w:rPr>
              <w:lastRenderedPageBreak/>
              <w:t>Amendment in Instructions regarding Advance Payment against Imports</w:t>
            </w:r>
          </w:p>
          <w:p w14:paraId="0F344717" w14:textId="77777777" w:rsidR="00BB4F0B" w:rsidRPr="00BB4F0B" w:rsidRDefault="00BB4F0B" w:rsidP="00BB4F0B">
            <w:pPr>
              <w:ind w:right="72"/>
              <w:rPr>
                <w:rStyle w:val="Strong"/>
                <w:rFonts w:ascii="Times New Roman" w:hAnsi="Times New Roman" w:cs="Times New Roman"/>
                <w:b w:val="0"/>
                <w:bCs w:val="0"/>
                <w:sz w:val="24"/>
                <w:szCs w:val="24"/>
              </w:rPr>
            </w:pPr>
          </w:p>
          <w:p w14:paraId="639805CF" w14:textId="77777777" w:rsidR="00BB4F0B" w:rsidRPr="00BB4F0B" w:rsidRDefault="00BB4F0B" w:rsidP="00BB4F0B">
            <w:pPr>
              <w:ind w:right="72"/>
              <w:rPr>
                <w:rStyle w:val="Strong"/>
                <w:rFonts w:ascii="Times New Roman" w:hAnsi="Times New Roman" w:cs="Times New Roman"/>
                <w:b w:val="0"/>
                <w:bCs w:val="0"/>
                <w:sz w:val="24"/>
                <w:szCs w:val="24"/>
              </w:rPr>
            </w:pPr>
          </w:p>
          <w:p w14:paraId="5A23C8D7" w14:textId="77777777" w:rsidR="00BB4F0B" w:rsidRPr="00BB4F0B" w:rsidRDefault="00BB4F0B" w:rsidP="00BB4F0B">
            <w:pPr>
              <w:ind w:right="72"/>
              <w:rPr>
                <w:rStyle w:val="Strong"/>
                <w:rFonts w:ascii="Times New Roman" w:hAnsi="Times New Roman" w:cs="Times New Roman"/>
                <w:b w:val="0"/>
                <w:bCs w:val="0"/>
                <w:caps/>
                <w:color w:val="000000"/>
                <w:sz w:val="24"/>
                <w:szCs w:val="24"/>
              </w:rPr>
            </w:pPr>
            <w:r w:rsidRPr="00BB4F0B">
              <w:rPr>
                <w:rStyle w:val="Strong"/>
                <w:rFonts w:ascii="Times New Roman" w:hAnsi="Times New Roman" w:cs="Times New Roman"/>
                <w:b w:val="0"/>
                <w:bCs w:val="0"/>
                <w:color w:val="000000"/>
                <w:sz w:val="24"/>
                <w:szCs w:val="24"/>
              </w:rPr>
              <w:t>EPD Circular Letter No. 04 of 2020</w:t>
            </w:r>
          </w:p>
        </w:tc>
        <w:tc>
          <w:tcPr>
            <w:tcW w:w="4770" w:type="dxa"/>
            <w:tcBorders>
              <w:top w:val="single" w:sz="4" w:space="0" w:color="auto"/>
              <w:left w:val="single" w:sz="4" w:space="0" w:color="auto"/>
              <w:bottom w:val="single" w:sz="4" w:space="0" w:color="auto"/>
              <w:right w:val="single" w:sz="4" w:space="0" w:color="auto"/>
            </w:tcBorders>
          </w:tcPr>
          <w:p w14:paraId="29DCB680" w14:textId="77777777" w:rsidR="00BB4F0B" w:rsidRPr="00D17412" w:rsidRDefault="00BB4F0B" w:rsidP="00D07174">
            <w:pPr>
              <w:rPr>
                <w:rFonts w:ascii="Times New Roman" w:hAnsi="Times New Roman" w:cs="Times New Roman"/>
                <w:color w:val="333333"/>
                <w:sz w:val="24"/>
                <w:szCs w:val="24"/>
                <w:shd w:val="clear" w:color="auto" w:fill="F8F8F8"/>
              </w:rPr>
            </w:pPr>
            <w:r w:rsidRPr="00D17412">
              <w:rPr>
                <w:rFonts w:ascii="Times New Roman" w:hAnsi="Times New Roman" w:cs="Times New Roman"/>
                <w:color w:val="333333"/>
                <w:sz w:val="24"/>
                <w:szCs w:val="24"/>
                <w:shd w:val="clear" w:color="auto" w:fill="F8F8F8"/>
              </w:rPr>
              <w:lastRenderedPageBreak/>
              <w:t xml:space="preserve">In order to further facilitate the manufacturing &amp; industrial concerns, the above instructions have been modified. Henceforth, Authorized Dealers are allowed to effect advance payment </w:t>
            </w:r>
            <w:r w:rsidRPr="00D17412">
              <w:rPr>
                <w:rFonts w:ascii="Times New Roman" w:hAnsi="Times New Roman" w:cs="Times New Roman"/>
                <w:color w:val="333333"/>
                <w:sz w:val="24"/>
                <w:szCs w:val="24"/>
                <w:shd w:val="clear" w:color="auto" w:fill="F8F8F8"/>
              </w:rPr>
              <w:lastRenderedPageBreak/>
              <w:t>up to USD 25,000/-, or equivalent in other currencies, per invoice on behalf of manufacturing &amp; industrial concerns and commercial importers for import of raw material, spare parts and machinery, for ultimate use by manufacturing &amp; industrial concern</w:t>
            </w:r>
          </w:p>
          <w:p w14:paraId="1352108A" w14:textId="77777777" w:rsidR="00BB4F0B" w:rsidRPr="00D17412" w:rsidRDefault="00BB4F0B" w:rsidP="00D07174">
            <w:pPr>
              <w:rPr>
                <w:rFonts w:ascii="Times New Roman" w:hAnsi="Times New Roman" w:cs="Times New Roman"/>
                <w:color w:val="333333"/>
                <w:sz w:val="24"/>
                <w:szCs w:val="24"/>
                <w:shd w:val="clear" w:color="auto" w:fill="F8F8F8"/>
              </w:rPr>
            </w:pPr>
          </w:p>
        </w:tc>
        <w:tc>
          <w:tcPr>
            <w:tcW w:w="1355" w:type="dxa"/>
            <w:tcBorders>
              <w:top w:val="single" w:sz="4" w:space="0" w:color="auto"/>
              <w:left w:val="single" w:sz="4" w:space="0" w:color="auto"/>
              <w:bottom w:val="single" w:sz="4" w:space="0" w:color="auto"/>
              <w:right w:val="single" w:sz="4" w:space="0" w:color="auto"/>
            </w:tcBorders>
          </w:tcPr>
          <w:p w14:paraId="4E512EE9" w14:textId="77777777" w:rsidR="00BB4F0B" w:rsidRPr="00D17412" w:rsidRDefault="00BB4F0B" w:rsidP="00D07174">
            <w:pPr>
              <w:rPr>
                <w:rFonts w:ascii="Times New Roman" w:hAnsi="Times New Roman" w:cs="Times New Roman"/>
                <w:sz w:val="24"/>
                <w:szCs w:val="24"/>
              </w:rPr>
            </w:pPr>
            <w:r w:rsidRPr="00D17412">
              <w:rPr>
                <w:rFonts w:ascii="Times New Roman" w:hAnsi="Times New Roman" w:cs="Times New Roman"/>
                <w:sz w:val="24"/>
                <w:szCs w:val="24"/>
              </w:rPr>
              <w:lastRenderedPageBreak/>
              <w:t>19-03-2020</w:t>
            </w:r>
          </w:p>
        </w:tc>
      </w:tr>
      <w:tr w:rsidR="00B92822" w:rsidRPr="00EB05BB" w14:paraId="3C2A9443" w14:textId="77777777" w:rsidTr="009D7646">
        <w:trPr>
          <w:trHeight w:val="70"/>
        </w:trPr>
        <w:tc>
          <w:tcPr>
            <w:tcW w:w="1885" w:type="dxa"/>
          </w:tcPr>
          <w:p w14:paraId="4557FFBE" w14:textId="77777777" w:rsidR="00B92822" w:rsidRPr="00EB05BB" w:rsidRDefault="00B92822" w:rsidP="00EB05BB">
            <w:pPr>
              <w:ind w:right="-446"/>
              <w:rPr>
                <w:rFonts w:ascii="Times New Roman" w:hAnsi="Times New Roman" w:cs="Times New Roman"/>
                <w:sz w:val="24"/>
                <w:szCs w:val="24"/>
              </w:rPr>
            </w:pPr>
          </w:p>
        </w:tc>
        <w:tc>
          <w:tcPr>
            <w:tcW w:w="1890" w:type="dxa"/>
          </w:tcPr>
          <w:p w14:paraId="5BFAE29B" w14:textId="77777777" w:rsidR="00B92822" w:rsidRPr="00EB05BB" w:rsidRDefault="00B92822" w:rsidP="00EB05BB">
            <w:pPr>
              <w:ind w:right="-446"/>
              <w:rPr>
                <w:rFonts w:ascii="Times New Roman" w:hAnsi="Times New Roman" w:cs="Times New Roman"/>
                <w:sz w:val="24"/>
                <w:szCs w:val="24"/>
              </w:rPr>
            </w:pPr>
            <w:r w:rsidRPr="00EB05BB">
              <w:rPr>
                <w:rFonts w:ascii="Times New Roman" w:hAnsi="Times New Roman" w:cs="Times New Roman"/>
                <w:sz w:val="24"/>
                <w:szCs w:val="24"/>
              </w:rPr>
              <w:t>State Bank of Pakistan</w:t>
            </w:r>
          </w:p>
          <w:p w14:paraId="42D43232" w14:textId="77777777" w:rsidR="00B92822" w:rsidRPr="00EB05BB" w:rsidRDefault="00B92822" w:rsidP="00EB05BB">
            <w:pPr>
              <w:ind w:right="-446"/>
              <w:rPr>
                <w:rFonts w:ascii="Times New Roman" w:hAnsi="Times New Roman" w:cs="Times New Roman"/>
                <w:sz w:val="24"/>
                <w:szCs w:val="24"/>
              </w:rPr>
            </w:pPr>
            <w:r w:rsidRPr="00EB05BB">
              <w:rPr>
                <w:rFonts w:ascii="Times New Roman" w:hAnsi="Times New Roman" w:cs="Times New Roman"/>
                <w:sz w:val="24"/>
                <w:szCs w:val="24"/>
              </w:rPr>
              <w:t>(Infrastructure, Housing &amp; SME Finance Department)</w:t>
            </w:r>
          </w:p>
        </w:tc>
        <w:tc>
          <w:tcPr>
            <w:tcW w:w="5220" w:type="dxa"/>
          </w:tcPr>
          <w:p w14:paraId="6196727E" w14:textId="77777777" w:rsidR="00B92822" w:rsidRPr="00FD3C98" w:rsidRDefault="00B92822" w:rsidP="00BB4F0B">
            <w:pPr>
              <w:ind w:right="72"/>
              <w:rPr>
                <w:rStyle w:val="Strong"/>
                <w:rFonts w:ascii="Times New Roman" w:hAnsi="Times New Roman" w:cs="Times New Roman"/>
                <w:b w:val="0"/>
                <w:bCs w:val="0"/>
                <w:caps/>
                <w:sz w:val="24"/>
                <w:szCs w:val="24"/>
              </w:rPr>
            </w:pPr>
            <w:r w:rsidRPr="00FD3C98">
              <w:rPr>
                <w:rStyle w:val="Strong"/>
                <w:rFonts w:ascii="Times New Roman" w:hAnsi="Times New Roman" w:cs="Times New Roman"/>
                <w:b w:val="0"/>
                <w:bCs w:val="0"/>
                <w:caps/>
                <w:sz w:val="24"/>
                <w:szCs w:val="24"/>
              </w:rPr>
              <w:t>Islamic Temporary Economic Refinance Facility (ITERF)</w:t>
            </w:r>
          </w:p>
          <w:p w14:paraId="63B32CCE" w14:textId="77777777" w:rsidR="00B92822" w:rsidRPr="00BB4F0B" w:rsidRDefault="00B92822" w:rsidP="00BB4F0B">
            <w:pPr>
              <w:ind w:right="72"/>
              <w:rPr>
                <w:rStyle w:val="Strong"/>
                <w:rFonts w:ascii="Times New Roman" w:hAnsi="Times New Roman" w:cs="Times New Roman"/>
                <w:b w:val="0"/>
                <w:bCs w:val="0"/>
                <w:sz w:val="24"/>
                <w:szCs w:val="24"/>
              </w:rPr>
            </w:pPr>
          </w:p>
          <w:p w14:paraId="6BCABD4A" w14:textId="77777777" w:rsidR="00B92822" w:rsidRPr="00BB4F0B" w:rsidRDefault="00B92822" w:rsidP="00BB4F0B">
            <w:pPr>
              <w:ind w:right="72"/>
              <w:rPr>
                <w:rStyle w:val="Strong"/>
                <w:rFonts w:ascii="Times New Roman" w:hAnsi="Times New Roman" w:cs="Times New Roman"/>
                <w:b w:val="0"/>
                <w:bCs w:val="0"/>
                <w:sz w:val="24"/>
                <w:szCs w:val="24"/>
              </w:rPr>
            </w:pPr>
            <w:r w:rsidRPr="00BB4F0B">
              <w:rPr>
                <w:rStyle w:val="Strong"/>
                <w:rFonts w:ascii="Times New Roman" w:hAnsi="Times New Roman" w:cs="Times New Roman"/>
                <w:b w:val="0"/>
                <w:bCs w:val="0"/>
                <w:sz w:val="24"/>
                <w:szCs w:val="24"/>
              </w:rPr>
              <w:t>IH&amp;SMEFD Circular No. 02 of 2020</w:t>
            </w:r>
          </w:p>
        </w:tc>
        <w:tc>
          <w:tcPr>
            <w:tcW w:w="4770" w:type="dxa"/>
          </w:tcPr>
          <w:p w14:paraId="5BCCB3A5" w14:textId="77777777" w:rsidR="00B92822" w:rsidRPr="00EB05BB" w:rsidRDefault="00B92822" w:rsidP="00004DFC">
            <w:pPr>
              <w:ind w:right="73"/>
              <w:rPr>
                <w:rFonts w:ascii="Times New Roman" w:hAnsi="Times New Roman" w:cs="Times New Roman"/>
                <w:color w:val="333333"/>
                <w:sz w:val="24"/>
                <w:szCs w:val="24"/>
                <w:shd w:val="clear" w:color="auto" w:fill="F8F8F8"/>
              </w:rPr>
            </w:pPr>
            <w:r w:rsidRPr="00EB05BB">
              <w:rPr>
                <w:rFonts w:ascii="Times New Roman" w:hAnsi="Times New Roman" w:cs="Times New Roman"/>
                <w:color w:val="333333"/>
                <w:sz w:val="24"/>
                <w:szCs w:val="24"/>
                <w:shd w:val="clear" w:color="auto" w:fill="F8F8F8"/>
              </w:rPr>
              <w:t>In order to support sustainable economic growth especially in the backdrop of challenges being faced by the industry in post-pandemic scenario, State Bank of Pakistan (SBP) has introduced Islamic Temporary Economic Refinance Facility (ITERF) up to Rs.5 Billion per project. The facility will provide concessionary refinance for setting up of new industrial units.</w:t>
            </w:r>
          </w:p>
          <w:p w14:paraId="5714B335" w14:textId="77777777" w:rsidR="00B92822" w:rsidRPr="00EB05BB" w:rsidRDefault="00B92822" w:rsidP="00004DFC">
            <w:pPr>
              <w:ind w:right="73"/>
              <w:rPr>
                <w:rFonts w:ascii="Times New Roman" w:hAnsi="Times New Roman" w:cs="Times New Roman"/>
                <w:color w:val="333333"/>
                <w:sz w:val="24"/>
                <w:szCs w:val="24"/>
                <w:shd w:val="clear" w:color="auto" w:fill="F8F8F8"/>
              </w:rPr>
            </w:pPr>
          </w:p>
        </w:tc>
        <w:tc>
          <w:tcPr>
            <w:tcW w:w="1355" w:type="dxa"/>
          </w:tcPr>
          <w:p w14:paraId="502BD22B" w14:textId="77777777" w:rsidR="00B92822" w:rsidRPr="00EB05BB" w:rsidRDefault="00B92822" w:rsidP="00EB05BB">
            <w:pPr>
              <w:ind w:right="-446"/>
              <w:rPr>
                <w:rFonts w:ascii="Times New Roman" w:hAnsi="Times New Roman" w:cs="Times New Roman"/>
                <w:sz w:val="24"/>
                <w:szCs w:val="24"/>
              </w:rPr>
            </w:pPr>
            <w:r w:rsidRPr="00EB05BB">
              <w:rPr>
                <w:rFonts w:ascii="Times New Roman" w:hAnsi="Times New Roman" w:cs="Times New Roman"/>
                <w:sz w:val="24"/>
                <w:szCs w:val="24"/>
              </w:rPr>
              <w:t>17-03-2020</w:t>
            </w:r>
          </w:p>
        </w:tc>
      </w:tr>
      <w:tr w:rsidR="00B92822" w:rsidRPr="00EB05BB" w14:paraId="2815B8E0" w14:textId="77777777" w:rsidTr="009D7646">
        <w:trPr>
          <w:trHeight w:val="70"/>
        </w:trPr>
        <w:tc>
          <w:tcPr>
            <w:tcW w:w="1885" w:type="dxa"/>
          </w:tcPr>
          <w:p w14:paraId="4886A39C" w14:textId="77777777" w:rsidR="00B92822" w:rsidRPr="00EB05BB" w:rsidRDefault="00B92822" w:rsidP="00EB05BB">
            <w:pPr>
              <w:ind w:right="-446"/>
              <w:rPr>
                <w:rFonts w:ascii="Times New Roman" w:hAnsi="Times New Roman" w:cs="Times New Roman"/>
                <w:sz w:val="24"/>
                <w:szCs w:val="24"/>
              </w:rPr>
            </w:pPr>
          </w:p>
        </w:tc>
        <w:tc>
          <w:tcPr>
            <w:tcW w:w="1890" w:type="dxa"/>
          </w:tcPr>
          <w:p w14:paraId="703F6645" w14:textId="77777777" w:rsidR="00B92822" w:rsidRPr="00EB05BB" w:rsidRDefault="00B92822" w:rsidP="00EB05BB">
            <w:pPr>
              <w:ind w:right="-446"/>
              <w:rPr>
                <w:rFonts w:ascii="Times New Roman" w:hAnsi="Times New Roman" w:cs="Times New Roman"/>
                <w:sz w:val="24"/>
                <w:szCs w:val="24"/>
              </w:rPr>
            </w:pPr>
            <w:r w:rsidRPr="00EB05BB">
              <w:rPr>
                <w:rFonts w:ascii="Times New Roman" w:hAnsi="Times New Roman" w:cs="Times New Roman"/>
                <w:sz w:val="24"/>
                <w:szCs w:val="24"/>
              </w:rPr>
              <w:t>State Bank of Pakistan</w:t>
            </w:r>
          </w:p>
          <w:p w14:paraId="4B4353A9" w14:textId="77777777" w:rsidR="00B92822" w:rsidRPr="00EB05BB" w:rsidRDefault="00B92822" w:rsidP="00EB05BB">
            <w:pPr>
              <w:ind w:right="-446"/>
              <w:rPr>
                <w:rFonts w:ascii="Times New Roman" w:hAnsi="Times New Roman" w:cs="Times New Roman"/>
                <w:sz w:val="24"/>
                <w:szCs w:val="24"/>
              </w:rPr>
            </w:pPr>
            <w:r w:rsidRPr="00EB05BB">
              <w:rPr>
                <w:rFonts w:ascii="Times New Roman" w:hAnsi="Times New Roman" w:cs="Times New Roman"/>
                <w:sz w:val="24"/>
                <w:szCs w:val="24"/>
              </w:rPr>
              <w:t>(Infrastructure, Housing &amp; SME Finance Department)</w:t>
            </w:r>
          </w:p>
        </w:tc>
        <w:tc>
          <w:tcPr>
            <w:tcW w:w="5220" w:type="dxa"/>
          </w:tcPr>
          <w:p w14:paraId="70ED5821" w14:textId="77777777" w:rsidR="00B92822" w:rsidRPr="00FD3C98" w:rsidRDefault="00B92822" w:rsidP="00BB4F0B">
            <w:pPr>
              <w:ind w:right="72"/>
              <w:rPr>
                <w:rStyle w:val="Strong"/>
                <w:rFonts w:ascii="Times New Roman" w:hAnsi="Times New Roman" w:cs="Times New Roman"/>
                <w:b w:val="0"/>
                <w:bCs w:val="0"/>
                <w:caps/>
                <w:sz w:val="24"/>
                <w:szCs w:val="24"/>
              </w:rPr>
            </w:pPr>
            <w:r w:rsidRPr="00FD3C98">
              <w:rPr>
                <w:rStyle w:val="Strong"/>
                <w:rFonts w:ascii="Times New Roman" w:hAnsi="Times New Roman" w:cs="Times New Roman"/>
                <w:b w:val="0"/>
                <w:bCs w:val="0"/>
                <w:caps/>
                <w:sz w:val="24"/>
                <w:szCs w:val="24"/>
              </w:rPr>
              <w:t>Temporary Economic Refinance Facility (TERF)</w:t>
            </w:r>
          </w:p>
          <w:p w14:paraId="5C5ACCBE" w14:textId="77777777" w:rsidR="00B92822" w:rsidRPr="00BB4F0B" w:rsidRDefault="00B92822" w:rsidP="00BB4F0B">
            <w:pPr>
              <w:ind w:right="72"/>
              <w:rPr>
                <w:rStyle w:val="Strong"/>
                <w:rFonts w:ascii="Times New Roman" w:hAnsi="Times New Roman" w:cs="Times New Roman"/>
                <w:b w:val="0"/>
                <w:bCs w:val="0"/>
                <w:sz w:val="24"/>
                <w:szCs w:val="24"/>
              </w:rPr>
            </w:pPr>
          </w:p>
          <w:p w14:paraId="226D7E73" w14:textId="77777777" w:rsidR="00B92822" w:rsidRPr="00BB4F0B" w:rsidRDefault="00B92822" w:rsidP="00BB4F0B">
            <w:pPr>
              <w:ind w:right="72"/>
              <w:rPr>
                <w:rStyle w:val="Strong"/>
                <w:rFonts w:ascii="Times New Roman" w:hAnsi="Times New Roman" w:cs="Times New Roman"/>
                <w:b w:val="0"/>
                <w:bCs w:val="0"/>
                <w:sz w:val="24"/>
                <w:szCs w:val="24"/>
              </w:rPr>
            </w:pPr>
            <w:r w:rsidRPr="00BB4F0B">
              <w:rPr>
                <w:rStyle w:val="Strong"/>
                <w:rFonts w:ascii="Times New Roman" w:hAnsi="Times New Roman" w:cs="Times New Roman"/>
                <w:b w:val="0"/>
                <w:bCs w:val="0"/>
                <w:sz w:val="24"/>
                <w:szCs w:val="24"/>
              </w:rPr>
              <w:t>IH&amp;SMEFD Circular No. 01 of 2020</w:t>
            </w:r>
          </w:p>
        </w:tc>
        <w:tc>
          <w:tcPr>
            <w:tcW w:w="4770" w:type="dxa"/>
          </w:tcPr>
          <w:p w14:paraId="5D98CB0E" w14:textId="77777777" w:rsidR="00B92822" w:rsidRPr="00EB05BB" w:rsidRDefault="00B92822" w:rsidP="00004DFC">
            <w:pPr>
              <w:ind w:right="73"/>
              <w:rPr>
                <w:rFonts w:ascii="Times New Roman" w:hAnsi="Times New Roman" w:cs="Times New Roman"/>
                <w:color w:val="333333"/>
                <w:sz w:val="24"/>
                <w:szCs w:val="24"/>
                <w:shd w:val="clear" w:color="auto" w:fill="F8F8F8"/>
              </w:rPr>
            </w:pPr>
            <w:r w:rsidRPr="00EB05BB">
              <w:rPr>
                <w:rFonts w:ascii="Times New Roman" w:hAnsi="Times New Roman" w:cs="Times New Roman"/>
                <w:color w:val="333333"/>
                <w:sz w:val="24"/>
                <w:szCs w:val="24"/>
                <w:shd w:val="clear" w:color="auto" w:fill="F8F8F8"/>
              </w:rPr>
              <w:t>In order to support sustainable economic growth especially in the backdrop of challenges being faced by the industry in post-pandemic scenario, State Bank of Pakistan (SBP) has introduced Temporary Economic Refinance Facility (TERF) up to Rs.5 Billion per project. The facility will provide concessionary refinance for setting up of new industrial units.</w:t>
            </w:r>
          </w:p>
          <w:p w14:paraId="49B2CAA7" w14:textId="77777777" w:rsidR="00B92822" w:rsidRPr="00EB05BB" w:rsidRDefault="00B92822" w:rsidP="00004DFC">
            <w:pPr>
              <w:ind w:right="73"/>
              <w:rPr>
                <w:rFonts w:ascii="Times New Roman" w:hAnsi="Times New Roman" w:cs="Times New Roman"/>
                <w:color w:val="333333"/>
                <w:sz w:val="24"/>
                <w:szCs w:val="24"/>
                <w:shd w:val="clear" w:color="auto" w:fill="F8F8F8"/>
              </w:rPr>
            </w:pPr>
          </w:p>
        </w:tc>
        <w:tc>
          <w:tcPr>
            <w:tcW w:w="1355" w:type="dxa"/>
          </w:tcPr>
          <w:p w14:paraId="6B153817" w14:textId="77777777" w:rsidR="00B92822" w:rsidRPr="00EB05BB" w:rsidRDefault="00B92822" w:rsidP="00EB05BB">
            <w:pPr>
              <w:ind w:right="-446"/>
              <w:rPr>
                <w:rFonts w:ascii="Times New Roman" w:hAnsi="Times New Roman" w:cs="Times New Roman"/>
                <w:sz w:val="24"/>
                <w:szCs w:val="24"/>
              </w:rPr>
            </w:pPr>
            <w:r w:rsidRPr="00EB05BB">
              <w:rPr>
                <w:rFonts w:ascii="Times New Roman" w:hAnsi="Times New Roman" w:cs="Times New Roman"/>
                <w:sz w:val="24"/>
                <w:szCs w:val="24"/>
              </w:rPr>
              <w:t>17-03-2020</w:t>
            </w:r>
          </w:p>
        </w:tc>
      </w:tr>
    </w:tbl>
    <w:p w14:paraId="35B5F65D" w14:textId="77777777" w:rsidR="00DE1D97" w:rsidRPr="00EB05BB" w:rsidRDefault="00DE1D97" w:rsidP="00EB05BB">
      <w:pPr>
        <w:spacing w:after="0" w:line="240" w:lineRule="auto"/>
        <w:ind w:right="-446"/>
        <w:rPr>
          <w:rFonts w:ascii="Times New Roman" w:hAnsi="Times New Roman" w:cs="Times New Roman"/>
          <w:sz w:val="24"/>
          <w:szCs w:val="24"/>
        </w:rPr>
      </w:pPr>
    </w:p>
    <w:sectPr w:rsidR="00DE1D97" w:rsidRPr="00EB05BB" w:rsidSect="00715A12">
      <w:headerReference w:type="default" r:id="rId9"/>
      <w:footerReference w:type="default" r:id="rId10"/>
      <w:pgSz w:w="16834" w:h="11909" w:orient="landscape" w:code="9"/>
      <w:pgMar w:top="1152" w:right="72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16728" w14:textId="77777777" w:rsidR="009F3EE2" w:rsidRDefault="009F3EE2" w:rsidP="00237480">
      <w:pPr>
        <w:spacing w:after="0" w:line="240" w:lineRule="auto"/>
      </w:pPr>
      <w:r>
        <w:separator/>
      </w:r>
    </w:p>
  </w:endnote>
  <w:endnote w:type="continuationSeparator" w:id="0">
    <w:p w14:paraId="7781ECFF" w14:textId="77777777" w:rsidR="009F3EE2" w:rsidRDefault="009F3EE2" w:rsidP="0023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374516"/>
      <w:docPartObj>
        <w:docPartGallery w:val="Page Numbers (Bottom of Page)"/>
        <w:docPartUnique/>
      </w:docPartObj>
    </w:sdtPr>
    <w:sdtEndPr>
      <w:rPr>
        <w:noProof/>
      </w:rPr>
    </w:sdtEndPr>
    <w:sdtContent>
      <w:p w14:paraId="13AD388B" w14:textId="0E2D8059" w:rsidR="005451FF" w:rsidRDefault="005451FF">
        <w:pPr>
          <w:pStyle w:val="Footer"/>
          <w:jc w:val="center"/>
        </w:pPr>
        <w:r>
          <w:fldChar w:fldCharType="begin"/>
        </w:r>
        <w:r>
          <w:instrText xml:space="preserve"> PAGE   \* MERGEFORMAT </w:instrText>
        </w:r>
        <w:r>
          <w:fldChar w:fldCharType="separate"/>
        </w:r>
        <w:r w:rsidR="00A57417">
          <w:rPr>
            <w:noProof/>
          </w:rPr>
          <w:t>1</w:t>
        </w:r>
        <w:r>
          <w:rPr>
            <w:noProof/>
          </w:rPr>
          <w:fldChar w:fldCharType="end"/>
        </w:r>
      </w:p>
    </w:sdtContent>
  </w:sdt>
  <w:p w14:paraId="2C84270A" w14:textId="77777777" w:rsidR="005451FF" w:rsidRDefault="00545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BFB80" w14:textId="77777777" w:rsidR="009F3EE2" w:rsidRDefault="009F3EE2" w:rsidP="00237480">
      <w:pPr>
        <w:spacing w:after="0" w:line="240" w:lineRule="auto"/>
      </w:pPr>
      <w:r>
        <w:separator/>
      </w:r>
    </w:p>
  </w:footnote>
  <w:footnote w:type="continuationSeparator" w:id="0">
    <w:p w14:paraId="6ED2970D" w14:textId="77777777" w:rsidR="009F3EE2" w:rsidRDefault="009F3EE2" w:rsidP="00237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115" w:type="dxa"/>
      <w:tblLook w:val="04A0" w:firstRow="1" w:lastRow="0" w:firstColumn="1" w:lastColumn="0" w:noHBand="0" w:noVBand="1"/>
    </w:tblPr>
    <w:tblGrid>
      <w:gridCol w:w="1853"/>
      <w:gridCol w:w="1922"/>
      <w:gridCol w:w="5220"/>
      <w:gridCol w:w="4770"/>
      <w:gridCol w:w="1350"/>
    </w:tblGrid>
    <w:tr w:rsidR="005451FF" w:rsidRPr="008D002C" w14:paraId="55B49CD5" w14:textId="77777777" w:rsidTr="00673AB5">
      <w:tc>
        <w:tcPr>
          <w:tcW w:w="1853" w:type="dxa"/>
          <w:shd w:val="clear" w:color="auto" w:fill="A6A6A6" w:themeFill="background1" w:themeFillShade="A6"/>
        </w:tcPr>
        <w:p w14:paraId="04C7F36A" w14:textId="77777777" w:rsidR="005451FF" w:rsidRPr="008D002C" w:rsidRDefault="005451FF" w:rsidP="00237480">
          <w:pPr>
            <w:rPr>
              <w:rFonts w:ascii="Times New Roman" w:hAnsi="Times New Roman" w:cs="Times New Roman"/>
              <w:b/>
              <w:bCs/>
              <w:sz w:val="28"/>
              <w:szCs w:val="28"/>
            </w:rPr>
          </w:pPr>
          <w:r w:rsidRPr="008D002C">
            <w:rPr>
              <w:rFonts w:ascii="Times New Roman" w:hAnsi="Times New Roman" w:cs="Times New Roman"/>
              <w:b/>
              <w:bCs/>
              <w:sz w:val="28"/>
              <w:szCs w:val="28"/>
            </w:rPr>
            <w:t>Category</w:t>
          </w:r>
        </w:p>
      </w:tc>
      <w:tc>
        <w:tcPr>
          <w:tcW w:w="1922" w:type="dxa"/>
          <w:shd w:val="clear" w:color="auto" w:fill="A6A6A6" w:themeFill="background1" w:themeFillShade="A6"/>
        </w:tcPr>
        <w:p w14:paraId="05D1EBE6" w14:textId="11E03EDF" w:rsidR="005451FF" w:rsidRPr="008D002C" w:rsidRDefault="005451FF" w:rsidP="00237480">
          <w:pPr>
            <w:rPr>
              <w:rFonts w:ascii="Times New Roman" w:hAnsi="Times New Roman" w:cs="Times New Roman"/>
              <w:b/>
              <w:bCs/>
              <w:sz w:val="28"/>
              <w:szCs w:val="28"/>
            </w:rPr>
          </w:pPr>
          <w:r>
            <w:rPr>
              <w:rFonts w:ascii="Times New Roman" w:hAnsi="Times New Roman" w:cs="Times New Roman"/>
              <w:b/>
              <w:bCs/>
              <w:sz w:val="28"/>
              <w:szCs w:val="28"/>
            </w:rPr>
            <w:t>Source</w:t>
          </w:r>
        </w:p>
      </w:tc>
      <w:tc>
        <w:tcPr>
          <w:tcW w:w="5220" w:type="dxa"/>
          <w:shd w:val="clear" w:color="auto" w:fill="A6A6A6" w:themeFill="background1" w:themeFillShade="A6"/>
        </w:tcPr>
        <w:p w14:paraId="456DDA80" w14:textId="77777777" w:rsidR="005451FF" w:rsidRDefault="005451FF" w:rsidP="00237480">
          <w:pPr>
            <w:rPr>
              <w:rFonts w:ascii="Times New Roman" w:hAnsi="Times New Roman" w:cs="Times New Roman"/>
              <w:b/>
              <w:bCs/>
              <w:sz w:val="28"/>
              <w:szCs w:val="28"/>
            </w:rPr>
          </w:pPr>
          <w:r w:rsidRPr="008D002C">
            <w:rPr>
              <w:rFonts w:ascii="Times New Roman" w:hAnsi="Times New Roman" w:cs="Times New Roman"/>
              <w:b/>
              <w:bCs/>
              <w:sz w:val="28"/>
              <w:szCs w:val="28"/>
            </w:rPr>
            <w:t>Subject</w:t>
          </w:r>
          <w:r>
            <w:rPr>
              <w:rFonts w:ascii="Times New Roman" w:hAnsi="Times New Roman" w:cs="Times New Roman"/>
              <w:b/>
              <w:bCs/>
              <w:sz w:val="28"/>
              <w:szCs w:val="28"/>
            </w:rPr>
            <w:t xml:space="preserve"> along with </w:t>
          </w:r>
        </w:p>
        <w:p w14:paraId="22644C06" w14:textId="77777777" w:rsidR="005451FF" w:rsidRDefault="005451FF" w:rsidP="00D90551">
          <w:pPr>
            <w:rPr>
              <w:rFonts w:ascii="Times New Roman" w:hAnsi="Times New Roman" w:cs="Times New Roman"/>
              <w:b/>
              <w:bCs/>
              <w:sz w:val="28"/>
              <w:szCs w:val="28"/>
            </w:rPr>
          </w:pPr>
          <w:r w:rsidRPr="008D002C">
            <w:rPr>
              <w:rFonts w:ascii="Times New Roman" w:hAnsi="Times New Roman" w:cs="Times New Roman"/>
              <w:b/>
              <w:bCs/>
              <w:sz w:val="28"/>
              <w:szCs w:val="28"/>
            </w:rPr>
            <w:t>Notification/Circular/</w:t>
          </w:r>
        </w:p>
        <w:p w14:paraId="03C5473B" w14:textId="5E2D87E4" w:rsidR="005451FF" w:rsidRDefault="005451FF" w:rsidP="00D90551">
          <w:pPr>
            <w:rPr>
              <w:rFonts w:ascii="Times New Roman" w:hAnsi="Times New Roman" w:cs="Times New Roman"/>
              <w:b/>
              <w:bCs/>
              <w:sz w:val="28"/>
              <w:szCs w:val="28"/>
            </w:rPr>
          </w:pPr>
          <w:r w:rsidRPr="008D002C">
            <w:rPr>
              <w:rFonts w:ascii="Times New Roman" w:hAnsi="Times New Roman" w:cs="Times New Roman"/>
              <w:b/>
              <w:bCs/>
              <w:sz w:val="28"/>
              <w:szCs w:val="28"/>
            </w:rPr>
            <w:t>Order/Letter</w:t>
          </w:r>
          <w:r>
            <w:rPr>
              <w:rFonts w:ascii="Times New Roman" w:hAnsi="Times New Roman" w:cs="Times New Roman"/>
              <w:b/>
              <w:bCs/>
              <w:sz w:val="28"/>
              <w:szCs w:val="28"/>
            </w:rPr>
            <w:t xml:space="preserve"> Number</w:t>
          </w:r>
        </w:p>
        <w:p w14:paraId="6153877B" w14:textId="386B3461" w:rsidR="005451FF" w:rsidRPr="008D002C" w:rsidRDefault="005451FF" w:rsidP="00D90551">
          <w:pPr>
            <w:rPr>
              <w:rFonts w:ascii="Times New Roman" w:hAnsi="Times New Roman" w:cs="Times New Roman"/>
              <w:b/>
              <w:bCs/>
              <w:sz w:val="28"/>
              <w:szCs w:val="28"/>
            </w:rPr>
          </w:pPr>
        </w:p>
      </w:tc>
      <w:tc>
        <w:tcPr>
          <w:tcW w:w="4770" w:type="dxa"/>
          <w:shd w:val="clear" w:color="auto" w:fill="A6A6A6" w:themeFill="background1" w:themeFillShade="A6"/>
        </w:tcPr>
        <w:p w14:paraId="6BF1C4DF" w14:textId="24105A21" w:rsidR="005451FF" w:rsidRPr="008D002C" w:rsidRDefault="005451FF" w:rsidP="00237480">
          <w:pPr>
            <w:rPr>
              <w:rFonts w:ascii="Times New Roman" w:hAnsi="Times New Roman" w:cs="Times New Roman"/>
              <w:b/>
              <w:bCs/>
              <w:sz w:val="28"/>
              <w:szCs w:val="28"/>
            </w:rPr>
          </w:pPr>
          <w:r>
            <w:rPr>
              <w:rFonts w:ascii="Times New Roman" w:hAnsi="Times New Roman" w:cs="Times New Roman"/>
              <w:b/>
              <w:bCs/>
              <w:sz w:val="28"/>
              <w:szCs w:val="28"/>
            </w:rPr>
            <w:t>Comments</w:t>
          </w:r>
        </w:p>
      </w:tc>
      <w:tc>
        <w:tcPr>
          <w:tcW w:w="1350" w:type="dxa"/>
          <w:shd w:val="clear" w:color="auto" w:fill="A6A6A6" w:themeFill="background1" w:themeFillShade="A6"/>
        </w:tcPr>
        <w:p w14:paraId="351A86DD" w14:textId="1E750CA1" w:rsidR="005451FF" w:rsidRPr="008D002C" w:rsidRDefault="005451FF" w:rsidP="00237480">
          <w:pPr>
            <w:rPr>
              <w:rFonts w:ascii="Times New Roman" w:hAnsi="Times New Roman" w:cs="Times New Roman"/>
              <w:b/>
              <w:bCs/>
              <w:sz w:val="28"/>
              <w:szCs w:val="28"/>
            </w:rPr>
          </w:pPr>
          <w:r w:rsidRPr="008D002C">
            <w:rPr>
              <w:rFonts w:ascii="Times New Roman" w:hAnsi="Times New Roman" w:cs="Times New Roman"/>
              <w:b/>
              <w:bCs/>
              <w:sz w:val="28"/>
              <w:szCs w:val="28"/>
            </w:rPr>
            <w:t>Date</w:t>
          </w:r>
        </w:p>
      </w:tc>
    </w:tr>
  </w:tbl>
  <w:p w14:paraId="4114F48B" w14:textId="77777777" w:rsidR="005451FF" w:rsidRDefault="00545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33034"/>
    <w:multiLevelType w:val="hybridMultilevel"/>
    <w:tmpl w:val="FF3A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154A5"/>
    <w:multiLevelType w:val="hybridMultilevel"/>
    <w:tmpl w:val="FC20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BCC5A09"/>
    <w:multiLevelType w:val="multilevel"/>
    <w:tmpl w:val="29588A5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0FD0C96"/>
    <w:multiLevelType w:val="hybridMultilevel"/>
    <w:tmpl w:val="34DC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35F664FE"/>
    <w:multiLevelType w:val="hybridMultilevel"/>
    <w:tmpl w:val="6976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3B3B7F38"/>
    <w:multiLevelType w:val="hybridMultilevel"/>
    <w:tmpl w:val="364EAF70"/>
    <w:lvl w:ilvl="0" w:tplc="D4C2C5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4727DB"/>
    <w:multiLevelType w:val="hybridMultilevel"/>
    <w:tmpl w:val="6B90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45A33EDF"/>
    <w:multiLevelType w:val="hybridMultilevel"/>
    <w:tmpl w:val="5A20D7DE"/>
    <w:lvl w:ilvl="0" w:tplc="5A723886">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804FFB"/>
    <w:multiLevelType w:val="hybridMultilevel"/>
    <w:tmpl w:val="8C32BE92"/>
    <w:lvl w:ilvl="0" w:tplc="F042DB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64000F"/>
    <w:multiLevelType w:val="hybridMultilevel"/>
    <w:tmpl w:val="70D88262"/>
    <w:lvl w:ilvl="0" w:tplc="E31C6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D5453B"/>
    <w:multiLevelType w:val="hybridMultilevel"/>
    <w:tmpl w:val="966C487A"/>
    <w:lvl w:ilvl="0" w:tplc="52306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A8350F"/>
    <w:multiLevelType w:val="hybridMultilevel"/>
    <w:tmpl w:val="99ACF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D33A49"/>
    <w:multiLevelType w:val="hybridMultilevel"/>
    <w:tmpl w:val="7FD6B7F2"/>
    <w:lvl w:ilvl="0" w:tplc="645EF754">
      <w:start w:val="3"/>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79AD7B6">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61B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ECD7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BE69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E8DD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E25B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2C51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C8F7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5F80089D"/>
    <w:multiLevelType w:val="hybridMultilevel"/>
    <w:tmpl w:val="3AD460AE"/>
    <w:lvl w:ilvl="0" w:tplc="46B62058">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A72388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AA4C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0A64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AAFF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A6A7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3846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9CB1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5A28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0212F91"/>
    <w:multiLevelType w:val="hybridMultilevel"/>
    <w:tmpl w:val="163C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6BF61C86"/>
    <w:multiLevelType w:val="hybridMultilevel"/>
    <w:tmpl w:val="DDC8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6E004E24"/>
    <w:multiLevelType w:val="hybridMultilevel"/>
    <w:tmpl w:val="F284321A"/>
    <w:lvl w:ilvl="0" w:tplc="A7CE38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1F577D"/>
    <w:multiLevelType w:val="multilevel"/>
    <w:tmpl w:val="2AC086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75273389"/>
    <w:multiLevelType w:val="hybridMultilevel"/>
    <w:tmpl w:val="9FEC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761C6521"/>
    <w:multiLevelType w:val="hybridMultilevel"/>
    <w:tmpl w:val="B14EB2D4"/>
    <w:lvl w:ilvl="0" w:tplc="DEA064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12"/>
  </w:num>
  <w:num w:numId="5">
    <w:abstractNumId w:val="7"/>
  </w:num>
  <w:num w:numId="6">
    <w:abstractNumId w:val="17"/>
  </w:num>
  <w:num w:numId="7">
    <w:abstractNumId w:val="10"/>
  </w:num>
  <w:num w:numId="8">
    <w:abstractNumId w:val="19"/>
  </w:num>
  <w:num w:numId="9">
    <w:abstractNumId w:val="16"/>
  </w:num>
  <w:num w:numId="10">
    <w:abstractNumId w:val="0"/>
  </w:num>
  <w:num w:numId="11">
    <w:abstractNumId w:val="8"/>
  </w:num>
  <w:num w:numId="12">
    <w:abstractNumId w:val="1"/>
  </w:num>
  <w:num w:numId="13">
    <w:abstractNumId w:val="14"/>
  </w:num>
  <w:num w:numId="14">
    <w:abstractNumId w:val="2"/>
  </w:num>
  <w:num w:numId="15">
    <w:abstractNumId w:val="3"/>
  </w:num>
  <w:num w:numId="16">
    <w:abstractNumId w:val="18"/>
  </w:num>
  <w:num w:numId="17">
    <w:abstractNumId w:val="6"/>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48"/>
    <w:rsid w:val="00001C5B"/>
    <w:rsid w:val="000045F3"/>
    <w:rsid w:val="00004DFC"/>
    <w:rsid w:val="00006045"/>
    <w:rsid w:val="000071D9"/>
    <w:rsid w:val="00010942"/>
    <w:rsid w:val="00014AB3"/>
    <w:rsid w:val="00023D17"/>
    <w:rsid w:val="00025A2A"/>
    <w:rsid w:val="000270DF"/>
    <w:rsid w:val="0003037C"/>
    <w:rsid w:val="000306EE"/>
    <w:rsid w:val="00031A32"/>
    <w:rsid w:val="00037EC7"/>
    <w:rsid w:val="0004036A"/>
    <w:rsid w:val="0004732F"/>
    <w:rsid w:val="0004768A"/>
    <w:rsid w:val="0005327E"/>
    <w:rsid w:val="00055C96"/>
    <w:rsid w:val="00056831"/>
    <w:rsid w:val="00057C57"/>
    <w:rsid w:val="00062D77"/>
    <w:rsid w:val="00062FA4"/>
    <w:rsid w:val="000645A1"/>
    <w:rsid w:val="00064612"/>
    <w:rsid w:val="00072522"/>
    <w:rsid w:val="00072765"/>
    <w:rsid w:val="00074CA0"/>
    <w:rsid w:val="000755C1"/>
    <w:rsid w:val="00075D8C"/>
    <w:rsid w:val="00077271"/>
    <w:rsid w:val="000812DA"/>
    <w:rsid w:val="00081637"/>
    <w:rsid w:val="000822C5"/>
    <w:rsid w:val="00086D11"/>
    <w:rsid w:val="000873F1"/>
    <w:rsid w:val="00092A2A"/>
    <w:rsid w:val="00092CC0"/>
    <w:rsid w:val="00093393"/>
    <w:rsid w:val="000A7FFA"/>
    <w:rsid w:val="000B1617"/>
    <w:rsid w:val="000B2D95"/>
    <w:rsid w:val="000B3FFE"/>
    <w:rsid w:val="000B4CFC"/>
    <w:rsid w:val="000B50D4"/>
    <w:rsid w:val="000C0F2C"/>
    <w:rsid w:val="000C2DC7"/>
    <w:rsid w:val="000C545B"/>
    <w:rsid w:val="000C7721"/>
    <w:rsid w:val="000C7A70"/>
    <w:rsid w:val="000D48AD"/>
    <w:rsid w:val="000E39A1"/>
    <w:rsid w:val="000E3D84"/>
    <w:rsid w:val="000F4A1E"/>
    <w:rsid w:val="000F61B6"/>
    <w:rsid w:val="001047E2"/>
    <w:rsid w:val="00110CC4"/>
    <w:rsid w:val="001161BE"/>
    <w:rsid w:val="0011622A"/>
    <w:rsid w:val="001170FB"/>
    <w:rsid w:val="00117ED6"/>
    <w:rsid w:val="00117F71"/>
    <w:rsid w:val="00120716"/>
    <w:rsid w:val="001215A2"/>
    <w:rsid w:val="00123E52"/>
    <w:rsid w:val="00124405"/>
    <w:rsid w:val="00126595"/>
    <w:rsid w:val="001266B6"/>
    <w:rsid w:val="00134CF5"/>
    <w:rsid w:val="00136C59"/>
    <w:rsid w:val="00136D07"/>
    <w:rsid w:val="00136E8A"/>
    <w:rsid w:val="001427D2"/>
    <w:rsid w:val="001453F2"/>
    <w:rsid w:val="0015007E"/>
    <w:rsid w:val="001501AF"/>
    <w:rsid w:val="001532DE"/>
    <w:rsid w:val="00157065"/>
    <w:rsid w:val="00157E25"/>
    <w:rsid w:val="0016063D"/>
    <w:rsid w:val="00161044"/>
    <w:rsid w:val="00163875"/>
    <w:rsid w:val="0016515E"/>
    <w:rsid w:val="00172630"/>
    <w:rsid w:val="00174358"/>
    <w:rsid w:val="0018533A"/>
    <w:rsid w:val="001872A5"/>
    <w:rsid w:val="00192B7A"/>
    <w:rsid w:val="001937F7"/>
    <w:rsid w:val="00193899"/>
    <w:rsid w:val="00193D69"/>
    <w:rsid w:val="00193F93"/>
    <w:rsid w:val="0019444E"/>
    <w:rsid w:val="001B2098"/>
    <w:rsid w:val="001B3630"/>
    <w:rsid w:val="001B4E55"/>
    <w:rsid w:val="001B78EF"/>
    <w:rsid w:val="001C1651"/>
    <w:rsid w:val="001C1F71"/>
    <w:rsid w:val="001C218F"/>
    <w:rsid w:val="001D0201"/>
    <w:rsid w:val="001D0FD2"/>
    <w:rsid w:val="001D1ACC"/>
    <w:rsid w:val="001D5099"/>
    <w:rsid w:val="001D6C6E"/>
    <w:rsid w:val="001D763C"/>
    <w:rsid w:val="001E03F8"/>
    <w:rsid w:val="001E0B60"/>
    <w:rsid w:val="001E4809"/>
    <w:rsid w:val="001E4ED8"/>
    <w:rsid w:val="001E610D"/>
    <w:rsid w:val="001E6827"/>
    <w:rsid w:val="001F5FFA"/>
    <w:rsid w:val="001F6443"/>
    <w:rsid w:val="00207E44"/>
    <w:rsid w:val="0021091B"/>
    <w:rsid w:val="002154C6"/>
    <w:rsid w:val="00217114"/>
    <w:rsid w:val="00220524"/>
    <w:rsid w:val="0022064F"/>
    <w:rsid w:val="00222DFB"/>
    <w:rsid w:val="00230767"/>
    <w:rsid w:val="00233C9B"/>
    <w:rsid w:val="00237480"/>
    <w:rsid w:val="00240751"/>
    <w:rsid w:val="00241E3B"/>
    <w:rsid w:val="002463DB"/>
    <w:rsid w:val="00246D30"/>
    <w:rsid w:val="00252D96"/>
    <w:rsid w:val="002650E1"/>
    <w:rsid w:val="00273AE7"/>
    <w:rsid w:val="002761BD"/>
    <w:rsid w:val="00276C09"/>
    <w:rsid w:val="00291963"/>
    <w:rsid w:val="00293222"/>
    <w:rsid w:val="00296F3A"/>
    <w:rsid w:val="002A0F9A"/>
    <w:rsid w:val="002A1626"/>
    <w:rsid w:val="002A1701"/>
    <w:rsid w:val="002A4879"/>
    <w:rsid w:val="002A5946"/>
    <w:rsid w:val="002A7779"/>
    <w:rsid w:val="002B12D3"/>
    <w:rsid w:val="002B24D3"/>
    <w:rsid w:val="002B3C93"/>
    <w:rsid w:val="002B61F4"/>
    <w:rsid w:val="002C0908"/>
    <w:rsid w:val="002C2332"/>
    <w:rsid w:val="002C68BC"/>
    <w:rsid w:val="002C7D1A"/>
    <w:rsid w:val="002D296E"/>
    <w:rsid w:val="002D3E2D"/>
    <w:rsid w:val="002E01E1"/>
    <w:rsid w:val="002E0C99"/>
    <w:rsid w:val="002E24F0"/>
    <w:rsid w:val="002E72CA"/>
    <w:rsid w:val="002E79D2"/>
    <w:rsid w:val="002F36DC"/>
    <w:rsid w:val="00303C4F"/>
    <w:rsid w:val="0030435C"/>
    <w:rsid w:val="00310741"/>
    <w:rsid w:val="003112E8"/>
    <w:rsid w:val="003167FC"/>
    <w:rsid w:val="00316D83"/>
    <w:rsid w:val="0032171B"/>
    <w:rsid w:val="00323A1C"/>
    <w:rsid w:val="00323C2E"/>
    <w:rsid w:val="00326EAA"/>
    <w:rsid w:val="0032782F"/>
    <w:rsid w:val="00334B7C"/>
    <w:rsid w:val="00340888"/>
    <w:rsid w:val="003423C9"/>
    <w:rsid w:val="00347993"/>
    <w:rsid w:val="00350DC4"/>
    <w:rsid w:val="00356602"/>
    <w:rsid w:val="00356823"/>
    <w:rsid w:val="003576AD"/>
    <w:rsid w:val="0037078A"/>
    <w:rsid w:val="00374FB1"/>
    <w:rsid w:val="0038783C"/>
    <w:rsid w:val="00391914"/>
    <w:rsid w:val="003A1104"/>
    <w:rsid w:val="003A17FC"/>
    <w:rsid w:val="003A2320"/>
    <w:rsid w:val="003A6709"/>
    <w:rsid w:val="003A76F6"/>
    <w:rsid w:val="003A7A81"/>
    <w:rsid w:val="003B4D1D"/>
    <w:rsid w:val="003C39C8"/>
    <w:rsid w:val="003C40EA"/>
    <w:rsid w:val="003C5FEC"/>
    <w:rsid w:val="003C6B4A"/>
    <w:rsid w:val="003D37DD"/>
    <w:rsid w:val="003D47A0"/>
    <w:rsid w:val="003E04FC"/>
    <w:rsid w:val="003E190D"/>
    <w:rsid w:val="003E1B87"/>
    <w:rsid w:val="003E26CC"/>
    <w:rsid w:val="003E32B7"/>
    <w:rsid w:val="003E41EC"/>
    <w:rsid w:val="003E4464"/>
    <w:rsid w:val="003E65E7"/>
    <w:rsid w:val="003E6F4F"/>
    <w:rsid w:val="003E71B7"/>
    <w:rsid w:val="003F2041"/>
    <w:rsid w:val="003F31A3"/>
    <w:rsid w:val="003F32A5"/>
    <w:rsid w:val="00401237"/>
    <w:rsid w:val="00411015"/>
    <w:rsid w:val="004171F4"/>
    <w:rsid w:val="00422C59"/>
    <w:rsid w:val="00442D56"/>
    <w:rsid w:val="00444136"/>
    <w:rsid w:val="00445ABB"/>
    <w:rsid w:val="00450012"/>
    <w:rsid w:val="00454723"/>
    <w:rsid w:val="0045500B"/>
    <w:rsid w:val="00466BFF"/>
    <w:rsid w:val="00467FB0"/>
    <w:rsid w:val="0047079D"/>
    <w:rsid w:val="004803B0"/>
    <w:rsid w:val="00480C14"/>
    <w:rsid w:val="00486772"/>
    <w:rsid w:val="00491A6F"/>
    <w:rsid w:val="00492026"/>
    <w:rsid w:val="00493E0F"/>
    <w:rsid w:val="0049403F"/>
    <w:rsid w:val="0049663D"/>
    <w:rsid w:val="004A29CA"/>
    <w:rsid w:val="004A3CEB"/>
    <w:rsid w:val="004A3D49"/>
    <w:rsid w:val="004A7D94"/>
    <w:rsid w:val="004B112E"/>
    <w:rsid w:val="004B1F6E"/>
    <w:rsid w:val="004B25F4"/>
    <w:rsid w:val="004C0062"/>
    <w:rsid w:val="004C0504"/>
    <w:rsid w:val="004C28B5"/>
    <w:rsid w:val="004C318F"/>
    <w:rsid w:val="004C54A1"/>
    <w:rsid w:val="004C64D7"/>
    <w:rsid w:val="004D1754"/>
    <w:rsid w:val="004D2DD3"/>
    <w:rsid w:val="004D3582"/>
    <w:rsid w:val="004D37F7"/>
    <w:rsid w:val="004E2CC5"/>
    <w:rsid w:val="004E62EA"/>
    <w:rsid w:val="004E7C4A"/>
    <w:rsid w:val="004F1283"/>
    <w:rsid w:val="004F590E"/>
    <w:rsid w:val="004F7C1D"/>
    <w:rsid w:val="00502BE1"/>
    <w:rsid w:val="00504340"/>
    <w:rsid w:val="00506767"/>
    <w:rsid w:val="00514625"/>
    <w:rsid w:val="00520D33"/>
    <w:rsid w:val="00522A8A"/>
    <w:rsid w:val="005324E7"/>
    <w:rsid w:val="005333C3"/>
    <w:rsid w:val="00533547"/>
    <w:rsid w:val="005358C8"/>
    <w:rsid w:val="0053704F"/>
    <w:rsid w:val="0054072A"/>
    <w:rsid w:val="00540926"/>
    <w:rsid w:val="00542CBC"/>
    <w:rsid w:val="005451FF"/>
    <w:rsid w:val="0054672F"/>
    <w:rsid w:val="0054737F"/>
    <w:rsid w:val="00550B77"/>
    <w:rsid w:val="005552C9"/>
    <w:rsid w:val="00555FFD"/>
    <w:rsid w:val="00563A8A"/>
    <w:rsid w:val="005730A6"/>
    <w:rsid w:val="0057571B"/>
    <w:rsid w:val="005765E8"/>
    <w:rsid w:val="00581C0F"/>
    <w:rsid w:val="00582A6B"/>
    <w:rsid w:val="00584A08"/>
    <w:rsid w:val="005872D2"/>
    <w:rsid w:val="00592397"/>
    <w:rsid w:val="00592A4B"/>
    <w:rsid w:val="00593D09"/>
    <w:rsid w:val="00593DE6"/>
    <w:rsid w:val="005945A7"/>
    <w:rsid w:val="005A2863"/>
    <w:rsid w:val="005A5D40"/>
    <w:rsid w:val="005B0424"/>
    <w:rsid w:val="005B281E"/>
    <w:rsid w:val="005B6E34"/>
    <w:rsid w:val="005B77B7"/>
    <w:rsid w:val="005D5410"/>
    <w:rsid w:val="005E4992"/>
    <w:rsid w:val="005E4A94"/>
    <w:rsid w:val="005E7D71"/>
    <w:rsid w:val="005F34AF"/>
    <w:rsid w:val="005F40BB"/>
    <w:rsid w:val="005F5860"/>
    <w:rsid w:val="00605152"/>
    <w:rsid w:val="0061183E"/>
    <w:rsid w:val="00612553"/>
    <w:rsid w:val="00613509"/>
    <w:rsid w:val="00623554"/>
    <w:rsid w:val="00625C84"/>
    <w:rsid w:val="00632553"/>
    <w:rsid w:val="00634853"/>
    <w:rsid w:val="00634E8D"/>
    <w:rsid w:val="00643AB6"/>
    <w:rsid w:val="00643F40"/>
    <w:rsid w:val="00644068"/>
    <w:rsid w:val="00654167"/>
    <w:rsid w:val="00654962"/>
    <w:rsid w:val="00656493"/>
    <w:rsid w:val="006570C1"/>
    <w:rsid w:val="00663EA1"/>
    <w:rsid w:val="00673AB5"/>
    <w:rsid w:val="00675CF6"/>
    <w:rsid w:val="00676DE0"/>
    <w:rsid w:val="006812DF"/>
    <w:rsid w:val="006858C9"/>
    <w:rsid w:val="00692BBA"/>
    <w:rsid w:val="00693599"/>
    <w:rsid w:val="006952B7"/>
    <w:rsid w:val="00695BA6"/>
    <w:rsid w:val="006A703D"/>
    <w:rsid w:val="006A7263"/>
    <w:rsid w:val="006A784E"/>
    <w:rsid w:val="006B145D"/>
    <w:rsid w:val="006B2C28"/>
    <w:rsid w:val="006B2EA6"/>
    <w:rsid w:val="006C4743"/>
    <w:rsid w:val="006D015F"/>
    <w:rsid w:val="006D18BB"/>
    <w:rsid w:val="006D283C"/>
    <w:rsid w:val="006D4611"/>
    <w:rsid w:val="006D69AE"/>
    <w:rsid w:val="006E3CAD"/>
    <w:rsid w:val="006E6AFB"/>
    <w:rsid w:val="006F3442"/>
    <w:rsid w:val="00704CDD"/>
    <w:rsid w:val="00704DF6"/>
    <w:rsid w:val="00704FCC"/>
    <w:rsid w:val="00706B6F"/>
    <w:rsid w:val="00712AEE"/>
    <w:rsid w:val="007141C7"/>
    <w:rsid w:val="00715A12"/>
    <w:rsid w:val="00725A2F"/>
    <w:rsid w:val="00726E9A"/>
    <w:rsid w:val="00731802"/>
    <w:rsid w:val="00732522"/>
    <w:rsid w:val="007329DE"/>
    <w:rsid w:val="00735CFD"/>
    <w:rsid w:val="007421F4"/>
    <w:rsid w:val="00742BAE"/>
    <w:rsid w:val="00743317"/>
    <w:rsid w:val="00744CB3"/>
    <w:rsid w:val="00745C98"/>
    <w:rsid w:val="0074605A"/>
    <w:rsid w:val="00751684"/>
    <w:rsid w:val="007550BB"/>
    <w:rsid w:val="007621DB"/>
    <w:rsid w:val="0076737C"/>
    <w:rsid w:val="00770AAE"/>
    <w:rsid w:val="00772AC8"/>
    <w:rsid w:val="00773F79"/>
    <w:rsid w:val="00783918"/>
    <w:rsid w:val="0078686E"/>
    <w:rsid w:val="007917CF"/>
    <w:rsid w:val="007949D4"/>
    <w:rsid w:val="00796537"/>
    <w:rsid w:val="0079685E"/>
    <w:rsid w:val="007A2BCB"/>
    <w:rsid w:val="007A7393"/>
    <w:rsid w:val="007B3CB8"/>
    <w:rsid w:val="007C0A36"/>
    <w:rsid w:val="007C0AF9"/>
    <w:rsid w:val="007C1786"/>
    <w:rsid w:val="007C35FD"/>
    <w:rsid w:val="007C3969"/>
    <w:rsid w:val="007C5242"/>
    <w:rsid w:val="007C6536"/>
    <w:rsid w:val="007D2A6C"/>
    <w:rsid w:val="007D7CB6"/>
    <w:rsid w:val="007F3BCD"/>
    <w:rsid w:val="00804C8D"/>
    <w:rsid w:val="00804CAE"/>
    <w:rsid w:val="00814472"/>
    <w:rsid w:val="00815851"/>
    <w:rsid w:val="00817D82"/>
    <w:rsid w:val="00821C4B"/>
    <w:rsid w:val="00822047"/>
    <w:rsid w:val="008240E8"/>
    <w:rsid w:val="00826021"/>
    <w:rsid w:val="00826C1F"/>
    <w:rsid w:val="008331E0"/>
    <w:rsid w:val="00834F22"/>
    <w:rsid w:val="00835423"/>
    <w:rsid w:val="008354AA"/>
    <w:rsid w:val="00840062"/>
    <w:rsid w:val="00840E62"/>
    <w:rsid w:val="00845BCD"/>
    <w:rsid w:val="00847670"/>
    <w:rsid w:val="00850DC7"/>
    <w:rsid w:val="008514ED"/>
    <w:rsid w:val="008530ED"/>
    <w:rsid w:val="00860E93"/>
    <w:rsid w:val="008616F2"/>
    <w:rsid w:val="00862120"/>
    <w:rsid w:val="0086279A"/>
    <w:rsid w:val="00863E33"/>
    <w:rsid w:val="00864456"/>
    <w:rsid w:val="008664D0"/>
    <w:rsid w:val="008702FD"/>
    <w:rsid w:val="00870C7C"/>
    <w:rsid w:val="008733C8"/>
    <w:rsid w:val="00874A05"/>
    <w:rsid w:val="0087636E"/>
    <w:rsid w:val="00876D2D"/>
    <w:rsid w:val="0087743E"/>
    <w:rsid w:val="0088584C"/>
    <w:rsid w:val="008860C1"/>
    <w:rsid w:val="00887A9B"/>
    <w:rsid w:val="00891F2F"/>
    <w:rsid w:val="008955CE"/>
    <w:rsid w:val="0089627F"/>
    <w:rsid w:val="008A5D21"/>
    <w:rsid w:val="008B0267"/>
    <w:rsid w:val="008B0721"/>
    <w:rsid w:val="008C27F7"/>
    <w:rsid w:val="008C3297"/>
    <w:rsid w:val="008C77BC"/>
    <w:rsid w:val="008D002C"/>
    <w:rsid w:val="008D17A9"/>
    <w:rsid w:val="008D3AE6"/>
    <w:rsid w:val="008E1D75"/>
    <w:rsid w:val="008E2326"/>
    <w:rsid w:val="008E73F7"/>
    <w:rsid w:val="008F243C"/>
    <w:rsid w:val="008F555F"/>
    <w:rsid w:val="008F5D75"/>
    <w:rsid w:val="008F6861"/>
    <w:rsid w:val="008F6A54"/>
    <w:rsid w:val="0090015F"/>
    <w:rsid w:val="009014A7"/>
    <w:rsid w:val="009019AF"/>
    <w:rsid w:val="00903C5F"/>
    <w:rsid w:val="00905671"/>
    <w:rsid w:val="009104F4"/>
    <w:rsid w:val="00910C0A"/>
    <w:rsid w:val="00930225"/>
    <w:rsid w:val="00931EE1"/>
    <w:rsid w:val="009365F2"/>
    <w:rsid w:val="00936887"/>
    <w:rsid w:val="00944B0E"/>
    <w:rsid w:val="00946111"/>
    <w:rsid w:val="00950FBE"/>
    <w:rsid w:val="00953C85"/>
    <w:rsid w:val="009547DA"/>
    <w:rsid w:val="009572D5"/>
    <w:rsid w:val="0096147D"/>
    <w:rsid w:val="00961652"/>
    <w:rsid w:val="00961956"/>
    <w:rsid w:val="00961A29"/>
    <w:rsid w:val="00961DF4"/>
    <w:rsid w:val="009654D0"/>
    <w:rsid w:val="00965714"/>
    <w:rsid w:val="009661F9"/>
    <w:rsid w:val="00971E3A"/>
    <w:rsid w:val="00972C25"/>
    <w:rsid w:val="00973E4C"/>
    <w:rsid w:val="0098198A"/>
    <w:rsid w:val="0099191A"/>
    <w:rsid w:val="00993160"/>
    <w:rsid w:val="00995542"/>
    <w:rsid w:val="009977DE"/>
    <w:rsid w:val="009A1215"/>
    <w:rsid w:val="009A1513"/>
    <w:rsid w:val="009B00B0"/>
    <w:rsid w:val="009B11A2"/>
    <w:rsid w:val="009B2467"/>
    <w:rsid w:val="009B28C3"/>
    <w:rsid w:val="009B6960"/>
    <w:rsid w:val="009B6C9B"/>
    <w:rsid w:val="009C16C9"/>
    <w:rsid w:val="009D0BFD"/>
    <w:rsid w:val="009D1268"/>
    <w:rsid w:val="009D14BF"/>
    <w:rsid w:val="009D2026"/>
    <w:rsid w:val="009D4010"/>
    <w:rsid w:val="009D470A"/>
    <w:rsid w:val="009D4B9C"/>
    <w:rsid w:val="009D7640"/>
    <w:rsid w:val="009D7646"/>
    <w:rsid w:val="009E4D26"/>
    <w:rsid w:val="009E7EEA"/>
    <w:rsid w:val="009F2403"/>
    <w:rsid w:val="009F3EE2"/>
    <w:rsid w:val="009F52BC"/>
    <w:rsid w:val="009F6204"/>
    <w:rsid w:val="009F7178"/>
    <w:rsid w:val="009F7393"/>
    <w:rsid w:val="00A10B5E"/>
    <w:rsid w:val="00A10EBB"/>
    <w:rsid w:val="00A11043"/>
    <w:rsid w:val="00A14225"/>
    <w:rsid w:val="00A14ABB"/>
    <w:rsid w:val="00A14F00"/>
    <w:rsid w:val="00A1515F"/>
    <w:rsid w:val="00A15594"/>
    <w:rsid w:val="00A24C34"/>
    <w:rsid w:val="00A260A5"/>
    <w:rsid w:val="00A27046"/>
    <w:rsid w:val="00A301DE"/>
    <w:rsid w:val="00A304D7"/>
    <w:rsid w:val="00A320D6"/>
    <w:rsid w:val="00A37A0A"/>
    <w:rsid w:val="00A40158"/>
    <w:rsid w:val="00A43513"/>
    <w:rsid w:val="00A46439"/>
    <w:rsid w:val="00A467CB"/>
    <w:rsid w:val="00A504D0"/>
    <w:rsid w:val="00A53714"/>
    <w:rsid w:val="00A53AC7"/>
    <w:rsid w:val="00A57417"/>
    <w:rsid w:val="00A65194"/>
    <w:rsid w:val="00A65451"/>
    <w:rsid w:val="00A74468"/>
    <w:rsid w:val="00A75F5C"/>
    <w:rsid w:val="00A80755"/>
    <w:rsid w:val="00A8417C"/>
    <w:rsid w:val="00A84A04"/>
    <w:rsid w:val="00A90620"/>
    <w:rsid w:val="00AA2294"/>
    <w:rsid w:val="00AA3E36"/>
    <w:rsid w:val="00AB273E"/>
    <w:rsid w:val="00AB3BBD"/>
    <w:rsid w:val="00AB6779"/>
    <w:rsid w:val="00AB6A9B"/>
    <w:rsid w:val="00AB6C24"/>
    <w:rsid w:val="00AC086C"/>
    <w:rsid w:val="00AC5BFE"/>
    <w:rsid w:val="00AC7AC8"/>
    <w:rsid w:val="00AD121E"/>
    <w:rsid w:val="00AD2923"/>
    <w:rsid w:val="00AD3573"/>
    <w:rsid w:val="00AD5134"/>
    <w:rsid w:val="00AD5897"/>
    <w:rsid w:val="00AD606F"/>
    <w:rsid w:val="00AD63F7"/>
    <w:rsid w:val="00AD7187"/>
    <w:rsid w:val="00AE3F19"/>
    <w:rsid w:val="00AE7756"/>
    <w:rsid w:val="00AF085A"/>
    <w:rsid w:val="00B00E4B"/>
    <w:rsid w:val="00B01964"/>
    <w:rsid w:val="00B01F39"/>
    <w:rsid w:val="00B03ECE"/>
    <w:rsid w:val="00B0538C"/>
    <w:rsid w:val="00B166C8"/>
    <w:rsid w:val="00B204D0"/>
    <w:rsid w:val="00B20AF8"/>
    <w:rsid w:val="00B213D4"/>
    <w:rsid w:val="00B22898"/>
    <w:rsid w:val="00B23189"/>
    <w:rsid w:val="00B25044"/>
    <w:rsid w:val="00B270B9"/>
    <w:rsid w:val="00B278C4"/>
    <w:rsid w:val="00B278E8"/>
    <w:rsid w:val="00B34F03"/>
    <w:rsid w:val="00B37135"/>
    <w:rsid w:val="00B55D3E"/>
    <w:rsid w:val="00B57731"/>
    <w:rsid w:val="00B57CA8"/>
    <w:rsid w:val="00B60645"/>
    <w:rsid w:val="00B631A8"/>
    <w:rsid w:val="00B64A21"/>
    <w:rsid w:val="00B67172"/>
    <w:rsid w:val="00B709CA"/>
    <w:rsid w:val="00B722EB"/>
    <w:rsid w:val="00B77A28"/>
    <w:rsid w:val="00B829C0"/>
    <w:rsid w:val="00B860BE"/>
    <w:rsid w:val="00B873E3"/>
    <w:rsid w:val="00B90B90"/>
    <w:rsid w:val="00B92822"/>
    <w:rsid w:val="00B92DAD"/>
    <w:rsid w:val="00B9564B"/>
    <w:rsid w:val="00B962B8"/>
    <w:rsid w:val="00BA450E"/>
    <w:rsid w:val="00BB1289"/>
    <w:rsid w:val="00BB461C"/>
    <w:rsid w:val="00BB4F0B"/>
    <w:rsid w:val="00BB72DF"/>
    <w:rsid w:val="00BC00B7"/>
    <w:rsid w:val="00BC0212"/>
    <w:rsid w:val="00BC088C"/>
    <w:rsid w:val="00BC1359"/>
    <w:rsid w:val="00BC44C8"/>
    <w:rsid w:val="00BC547E"/>
    <w:rsid w:val="00BD057C"/>
    <w:rsid w:val="00BD24B5"/>
    <w:rsid w:val="00BD2726"/>
    <w:rsid w:val="00BE4B12"/>
    <w:rsid w:val="00BF1065"/>
    <w:rsid w:val="00BF6B3F"/>
    <w:rsid w:val="00C03248"/>
    <w:rsid w:val="00C04667"/>
    <w:rsid w:val="00C0517C"/>
    <w:rsid w:val="00C05503"/>
    <w:rsid w:val="00C055D1"/>
    <w:rsid w:val="00C07CFE"/>
    <w:rsid w:val="00C10AB2"/>
    <w:rsid w:val="00C114E0"/>
    <w:rsid w:val="00C15512"/>
    <w:rsid w:val="00C231CE"/>
    <w:rsid w:val="00C33631"/>
    <w:rsid w:val="00C33D13"/>
    <w:rsid w:val="00C41B78"/>
    <w:rsid w:val="00C44BC2"/>
    <w:rsid w:val="00C46BE2"/>
    <w:rsid w:val="00C51FE2"/>
    <w:rsid w:val="00C54E7E"/>
    <w:rsid w:val="00C566A3"/>
    <w:rsid w:val="00C56C89"/>
    <w:rsid w:val="00C611BA"/>
    <w:rsid w:val="00C62550"/>
    <w:rsid w:val="00C62B58"/>
    <w:rsid w:val="00C64A21"/>
    <w:rsid w:val="00C87561"/>
    <w:rsid w:val="00C94784"/>
    <w:rsid w:val="00CB4F4B"/>
    <w:rsid w:val="00CB5EC0"/>
    <w:rsid w:val="00CB71A4"/>
    <w:rsid w:val="00CC3314"/>
    <w:rsid w:val="00CD06B2"/>
    <w:rsid w:val="00CD3D30"/>
    <w:rsid w:val="00CD58D3"/>
    <w:rsid w:val="00CE05A1"/>
    <w:rsid w:val="00CE6DFD"/>
    <w:rsid w:val="00CE7910"/>
    <w:rsid w:val="00CE7C31"/>
    <w:rsid w:val="00CF1080"/>
    <w:rsid w:val="00CF13E9"/>
    <w:rsid w:val="00CF58E3"/>
    <w:rsid w:val="00CF6F12"/>
    <w:rsid w:val="00D000D1"/>
    <w:rsid w:val="00D13BD7"/>
    <w:rsid w:val="00D14CFB"/>
    <w:rsid w:val="00D15BE8"/>
    <w:rsid w:val="00D23BD4"/>
    <w:rsid w:val="00D269DE"/>
    <w:rsid w:val="00D4495D"/>
    <w:rsid w:val="00D45EA7"/>
    <w:rsid w:val="00D46780"/>
    <w:rsid w:val="00D53738"/>
    <w:rsid w:val="00D53C32"/>
    <w:rsid w:val="00D54595"/>
    <w:rsid w:val="00D60D47"/>
    <w:rsid w:val="00D66D0A"/>
    <w:rsid w:val="00D7055C"/>
    <w:rsid w:val="00D710DA"/>
    <w:rsid w:val="00D71B53"/>
    <w:rsid w:val="00D738AB"/>
    <w:rsid w:val="00D81DEE"/>
    <w:rsid w:val="00D87076"/>
    <w:rsid w:val="00D87923"/>
    <w:rsid w:val="00D87B7E"/>
    <w:rsid w:val="00D90551"/>
    <w:rsid w:val="00D97245"/>
    <w:rsid w:val="00D97BA0"/>
    <w:rsid w:val="00DA6383"/>
    <w:rsid w:val="00DB2B03"/>
    <w:rsid w:val="00DB48CA"/>
    <w:rsid w:val="00DC3655"/>
    <w:rsid w:val="00DC6DEF"/>
    <w:rsid w:val="00DD3EA8"/>
    <w:rsid w:val="00DD5573"/>
    <w:rsid w:val="00DD61F5"/>
    <w:rsid w:val="00DE0037"/>
    <w:rsid w:val="00DE1D97"/>
    <w:rsid w:val="00DE4ECD"/>
    <w:rsid w:val="00DE5418"/>
    <w:rsid w:val="00DE5B61"/>
    <w:rsid w:val="00DF19D2"/>
    <w:rsid w:val="00DF2FB5"/>
    <w:rsid w:val="00DF4589"/>
    <w:rsid w:val="00DF5B48"/>
    <w:rsid w:val="00DF7AE7"/>
    <w:rsid w:val="00E00469"/>
    <w:rsid w:val="00E03922"/>
    <w:rsid w:val="00E045BD"/>
    <w:rsid w:val="00E055D0"/>
    <w:rsid w:val="00E10C1E"/>
    <w:rsid w:val="00E14585"/>
    <w:rsid w:val="00E16475"/>
    <w:rsid w:val="00E171F0"/>
    <w:rsid w:val="00E23F4D"/>
    <w:rsid w:val="00E3021B"/>
    <w:rsid w:val="00E30A19"/>
    <w:rsid w:val="00E43630"/>
    <w:rsid w:val="00E47042"/>
    <w:rsid w:val="00E500C7"/>
    <w:rsid w:val="00E51EAE"/>
    <w:rsid w:val="00E52617"/>
    <w:rsid w:val="00E6056D"/>
    <w:rsid w:val="00E61A25"/>
    <w:rsid w:val="00E634EF"/>
    <w:rsid w:val="00E636DA"/>
    <w:rsid w:val="00E63F6B"/>
    <w:rsid w:val="00E64E0D"/>
    <w:rsid w:val="00E66F88"/>
    <w:rsid w:val="00E67807"/>
    <w:rsid w:val="00E679C5"/>
    <w:rsid w:val="00E77E47"/>
    <w:rsid w:val="00E8405C"/>
    <w:rsid w:val="00E84122"/>
    <w:rsid w:val="00E85B15"/>
    <w:rsid w:val="00E87FAA"/>
    <w:rsid w:val="00E94631"/>
    <w:rsid w:val="00E96171"/>
    <w:rsid w:val="00E9634A"/>
    <w:rsid w:val="00EA174A"/>
    <w:rsid w:val="00EA18C4"/>
    <w:rsid w:val="00EA3AFE"/>
    <w:rsid w:val="00EA549F"/>
    <w:rsid w:val="00EA6FEE"/>
    <w:rsid w:val="00EB05BB"/>
    <w:rsid w:val="00EB0983"/>
    <w:rsid w:val="00EB36CD"/>
    <w:rsid w:val="00EB3CE5"/>
    <w:rsid w:val="00EB5825"/>
    <w:rsid w:val="00EB628C"/>
    <w:rsid w:val="00EC37ED"/>
    <w:rsid w:val="00ED1803"/>
    <w:rsid w:val="00ED3545"/>
    <w:rsid w:val="00ED6A48"/>
    <w:rsid w:val="00ED6D9F"/>
    <w:rsid w:val="00EE068B"/>
    <w:rsid w:val="00EE1C6F"/>
    <w:rsid w:val="00EE2B1D"/>
    <w:rsid w:val="00EF263C"/>
    <w:rsid w:val="00F02003"/>
    <w:rsid w:val="00F02AAC"/>
    <w:rsid w:val="00F06AA0"/>
    <w:rsid w:val="00F1078F"/>
    <w:rsid w:val="00F1351A"/>
    <w:rsid w:val="00F15C55"/>
    <w:rsid w:val="00F22A07"/>
    <w:rsid w:val="00F24CA7"/>
    <w:rsid w:val="00F26C20"/>
    <w:rsid w:val="00F274EE"/>
    <w:rsid w:val="00F31D6D"/>
    <w:rsid w:val="00F3439E"/>
    <w:rsid w:val="00F37380"/>
    <w:rsid w:val="00F37B0C"/>
    <w:rsid w:val="00F404EA"/>
    <w:rsid w:val="00F41389"/>
    <w:rsid w:val="00F429AA"/>
    <w:rsid w:val="00F43410"/>
    <w:rsid w:val="00F44D53"/>
    <w:rsid w:val="00F44FC0"/>
    <w:rsid w:val="00F47F51"/>
    <w:rsid w:val="00F53E7F"/>
    <w:rsid w:val="00F578DC"/>
    <w:rsid w:val="00F6153F"/>
    <w:rsid w:val="00F62FD1"/>
    <w:rsid w:val="00F668D4"/>
    <w:rsid w:val="00F70B7D"/>
    <w:rsid w:val="00F71A87"/>
    <w:rsid w:val="00F71D62"/>
    <w:rsid w:val="00F71F02"/>
    <w:rsid w:val="00F729BC"/>
    <w:rsid w:val="00F7382E"/>
    <w:rsid w:val="00F84BD8"/>
    <w:rsid w:val="00F8663C"/>
    <w:rsid w:val="00F87371"/>
    <w:rsid w:val="00F91BA3"/>
    <w:rsid w:val="00F93F0A"/>
    <w:rsid w:val="00FA2B53"/>
    <w:rsid w:val="00FA5986"/>
    <w:rsid w:val="00FA6EAE"/>
    <w:rsid w:val="00FB2448"/>
    <w:rsid w:val="00FC6108"/>
    <w:rsid w:val="00FD3305"/>
    <w:rsid w:val="00FD3C98"/>
    <w:rsid w:val="00FD3ED0"/>
    <w:rsid w:val="00FD7987"/>
    <w:rsid w:val="00FE1F2F"/>
    <w:rsid w:val="00FE24C5"/>
    <w:rsid w:val="00FE7D45"/>
    <w:rsid w:val="00FF34D6"/>
    <w:rsid w:val="00FF6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6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80"/>
  </w:style>
  <w:style w:type="paragraph" w:styleId="Footer">
    <w:name w:val="footer"/>
    <w:basedOn w:val="Normal"/>
    <w:link w:val="FooterChar"/>
    <w:uiPriority w:val="99"/>
    <w:unhideWhenUsed/>
    <w:rsid w:val="00237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80"/>
  </w:style>
  <w:style w:type="paragraph" w:styleId="ListParagraph">
    <w:name w:val="List Paragraph"/>
    <w:basedOn w:val="Normal"/>
    <w:uiPriority w:val="34"/>
    <w:qFormat/>
    <w:rsid w:val="00E6056D"/>
    <w:pPr>
      <w:ind w:left="720"/>
      <w:contextualSpacing/>
    </w:pPr>
  </w:style>
  <w:style w:type="paragraph" w:styleId="NormalWeb">
    <w:name w:val="Normal (Web)"/>
    <w:basedOn w:val="Normal"/>
    <w:uiPriority w:val="99"/>
    <w:unhideWhenUsed/>
    <w:rsid w:val="001937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17A9"/>
    <w:rPr>
      <w:color w:val="0000FF"/>
      <w:u w:val="single"/>
    </w:rPr>
  </w:style>
  <w:style w:type="character" w:styleId="Strong">
    <w:name w:val="Strong"/>
    <w:basedOn w:val="DefaultParagraphFont"/>
    <w:uiPriority w:val="22"/>
    <w:qFormat/>
    <w:rsid w:val="00193D69"/>
    <w:rPr>
      <w:b/>
      <w:bCs/>
    </w:rPr>
  </w:style>
  <w:style w:type="character" w:customStyle="1" w:styleId="UnresolvedMention">
    <w:name w:val="Unresolved Mention"/>
    <w:basedOn w:val="DefaultParagraphFont"/>
    <w:uiPriority w:val="99"/>
    <w:semiHidden/>
    <w:unhideWhenUsed/>
    <w:rsid w:val="008E2326"/>
    <w:rPr>
      <w:color w:val="605E5C"/>
      <w:shd w:val="clear" w:color="auto" w:fill="E1DFDD"/>
    </w:rPr>
  </w:style>
  <w:style w:type="paragraph" w:customStyle="1" w:styleId="footnotedescription">
    <w:name w:val="footnote description"/>
    <w:next w:val="Normal"/>
    <w:link w:val="footnotedescriptionChar"/>
    <w:hidden/>
    <w:rsid w:val="00E87FAA"/>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E87FAA"/>
    <w:rPr>
      <w:rFonts w:ascii="Times New Roman" w:eastAsia="Times New Roman" w:hAnsi="Times New Roman" w:cs="Times New Roman"/>
      <w:color w:val="000000"/>
      <w:sz w:val="20"/>
    </w:rPr>
  </w:style>
  <w:style w:type="character" w:customStyle="1" w:styleId="footnotemark">
    <w:name w:val="footnote mark"/>
    <w:hidden/>
    <w:rsid w:val="00E87FAA"/>
    <w:rPr>
      <w:rFonts w:ascii="Times New Roman" w:eastAsia="Times New Roman" w:hAnsi="Times New Roman" w:cs="Times New Roman"/>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80"/>
  </w:style>
  <w:style w:type="paragraph" w:styleId="Footer">
    <w:name w:val="footer"/>
    <w:basedOn w:val="Normal"/>
    <w:link w:val="FooterChar"/>
    <w:uiPriority w:val="99"/>
    <w:unhideWhenUsed/>
    <w:rsid w:val="00237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80"/>
  </w:style>
  <w:style w:type="paragraph" w:styleId="ListParagraph">
    <w:name w:val="List Paragraph"/>
    <w:basedOn w:val="Normal"/>
    <w:uiPriority w:val="34"/>
    <w:qFormat/>
    <w:rsid w:val="00E6056D"/>
    <w:pPr>
      <w:ind w:left="720"/>
      <w:contextualSpacing/>
    </w:pPr>
  </w:style>
  <w:style w:type="paragraph" w:styleId="NormalWeb">
    <w:name w:val="Normal (Web)"/>
    <w:basedOn w:val="Normal"/>
    <w:uiPriority w:val="99"/>
    <w:unhideWhenUsed/>
    <w:rsid w:val="001937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17A9"/>
    <w:rPr>
      <w:color w:val="0000FF"/>
      <w:u w:val="single"/>
    </w:rPr>
  </w:style>
  <w:style w:type="character" w:styleId="Strong">
    <w:name w:val="Strong"/>
    <w:basedOn w:val="DefaultParagraphFont"/>
    <w:uiPriority w:val="22"/>
    <w:qFormat/>
    <w:rsid w:val="00193D69"/>
    <w:rPr>
      <w:b/>
      <w:bCs/>
    </w:rPr>
  </w:style>
  <w:style w:type="character" w:customStyle="1" w:styleId="UnresolvedMention">
    <w:name w:val="Unresolved Mention"/>
    <w:basedOn w:val="DefaultParagraphFont"/>
    <w:uiPriority w:val="99"/>
    <w:semiHidden/>
    <w:unhideWhenUsed/>
    <w:rsid w:val="008E2326"/>
    <w:rPr>
      <w:color w:val="605E5C"/>
      <w:shd w:val="clear" w:color="auto" w:fill="E1DFDD"/>
    </w:rPr>
  </w:style>
  <w:style w:type="paragraph" w:customStyle="1" w:styleId="footnotedescription">
    <w:name w:val="footnote description"/>
    <w:next w:val="Normal"/>
    <w:link w:val="footnotedescriptionChar"/>
    <w:hidden/>
    <w:rsid w:val="00E87FAA"/>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E87FAA"/>
    <w:rPr>
      <w:rFonts w:ascii="Times New Roman" w:eastAsia="Times New Roman" w:hAnsi="Times New Roman" w:cs="Times New Roman"/>
      <w:color w:val="000000"/>
      <w:sz w:val="20"/>
    </w:rPr>
  </w:style>
  <w:style w:type="character" w:customStyle="1" w:styleId="footnotemark">
    <w:name w:val="footnote mark"/>
    <w:hidden/>
    <w:rsid w:val="00E87FAA"/>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5237">
      <w:bodyDiv w:val="1"/>
      <w:marLeft w:val="0"/>
      <w:marRight w:val="0"/>
      <w:marTop w:val="0"/>
      <w:marBottom w:val="0"/>
      <w:divBdr>
        <w:top w:val="none" w:sz="0" w:space="0" w:color="auto"/>
        <w:left w:val="none" w:sz="0" w:space="0" w:color="auto"/>
        <w:bottom w:val="none" w:sz="0" w:space="0" w:color="auto"/>
        <w:right w:val="none" w:sz="0" w:space="0" w:color="auto"/>
      </w:divBdr>
      <w:divsChild>
        <w:div w:id="402068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21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EAA1-B971-4ADB-85DE-E487B6D2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Saadia</dc:creator>
  <cp:keywords/>
  <dc:description/>
  <cp:lastModifiedBy>Fahad</cp:lastModifiedBy>
  <cp:revision>5</cp:revision>
  <dcterms:created xsi:type="dcterms:W3CDTF">2020-05-05T11:29:00Z</dcterms:created>
  <dcterms:modified xsi:type="dcterms:W3CDTF">2020-06-20T17:08:00Z</dcterms:modified>
</cp:coreProperties>
</file>